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560" w:lineRule="exact"/>
        <w:jc w:val="center"/>
        <w:rPr>
          <w:rFonts w:hint="eastAsia" w:ascii="方正小标宋简体" w:hAnsi="方正小标宋简体" w:eastAsia="方正小标宋简体" w:cs="方正小标宋简体"/>
          <w:kern w:val="0"/>
          <w:sz w:val="44"/>
          <w:szCs w:val="44"/>
          <w:shd w:val="clear" w:color="auto" w:fill="FFFFFF"/>
          <w:lang w:bidi="ar"/>
        </w:rPr>
      </w:pPr>
    </w:p>
    <w:p>
      <w:pPr>
        <w:widowControl/>
        <w:shd w:val="clear" w:color="auto" w:fill="FFFFFF"/>
        <w:adjustRightInd w:val="0"/>
        <w:snapToGrid w:val="0"/>
        <w:spacing w:line="560" w:lineRule="exact"/>
        <w:jc w:val="center"/>
        <w:rPr>
          <w:rFonts w:hint="eastAsia" w:ascii="方正小标宋简体" w:hAnsi="方正小标宋简体" w:eastAsia="方正小标宋简体" w:cs="方正小标宋简体"/>
          <w:kern w:val="0"/>
          <w:sz w:val="44"/>
          <w:szCs w:val="44"/>
          <w:shd w:val="clear" w:color="auto" w:fill="FFFFFF"/>
          <w:lang w:bidi="ar"/>
        </w:rPr>
      </w:pPr>
      <w:r>
        <w:rPr>
          <w:rFonts w:hint="eastAsia" w:ascii="方正小标宋简体" w:hAnsi="方正小标宋简体" w:eastAsia="方正小标宋简体" w:cs="方正小标宋简体"/>
          <w:kern w:val="0"/>
          <w:sz w:val="44"/>
          <w:szCs w:val="44"/>
          <w:shd w:val="clear" w:color="auto" w:fill="FFFFFF"/>
          <w:lang w:bidi="ar"/>
        </w:rPr>
        <w:t>2026年安徽省大学生ERP数智化运营</w:t>
      </w:r>
    </w:p>
    <w:p>
      <w:pPr>
        <w:widowControl/>
        <w:shd w:val="clear" w:color="auto" w:fill="FFFFFF"/>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shd w:val="clear" w:color="auto" w:fill="FFFFFF"/>
          <w:lang w:bidi="ar"/>
        </w:rPr>
        <w:t>大赛赛项规程</w:t>
      </w:r>
    </w:p>
    <w:p>
      <w:pPr>
        <w:pStyle w:val="5"/>
        <w:widowControl/>
        <w:shd w:val="clear" w:color="auto" w:fill="FFFFFF"/>
        <w:adjustRightInd w:val="0"/>
        <w:snapToGrid w:val="0"/>
        <w:spacing w:beforeAutospacing="0" w:afterAutospacing="0" w:line="560" w:lineRule="exact"/>
        <w:jc w:val="both"/>
        <w:rPr>
          <w:rFonts w:hint="eastAsia" w:ascii="微软雅黑" w:hAnsi="微软雅黑" w:eastAsia="微软雅黑" w:cs="微软雅黑"/>
        </w:rPr>
      </w:pPr>
    </w:p>
    <w:p>
      <w:pPr>
        <w:widowControl/>
        <w:shd w:val="clear" w:color="auto" w:fill="FFFFFF"/>
        <w:adjustRightInd w:val="0"/>
        <w:snapToGrid w:val="0"/>
        <w:spacing w:line="560" w:lineRule="exact"/>
        <w:ind w:firstLine="960"/>
        <w:jc w:val="left"/>
        <w:outlineLvl w:val="0"/>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一、赛项名称</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outlineLvl w:val="1"/>
        <w:rPr>
          <w:rFonts w:ascii="Times New Roman" w:hAnsi="Times New Roman" w:cs="Times New Roman"/>
          <w:sz w:val="24"/>
        </w:rPr>
      </w:pPr>
      <w:r>
        <w:rPr>
          <w:rFonts w:ascii="仿宋_GB2312" w:hAnsi="Times New Roman" w:eastAsia="仿宋_GB2312" w:cs="仿宋_GB2312"/>
          <w:kern w:val="0"/>
          <w:sz w:val="32"/>
          <w:szCs w:val="32"/>
          <w:shd w:val="clear" w:color="auto" w:fill="FFFFFF"/>
          <w:lang w:bidi="ar"/>
        </w:rPr>
        <w:t>赛项名称：</w:t>
      </w:r>
      <w:r>
        <w:rPr>
          <w:rFonts w:hint="eastAsia" w:ascii="仿宋_GB2312" w:hAnsi="仿宋_GB2312" w:eastAsia="仿宋_GB2312" w:cs="仿宋_GB2312"/>
          <w:sz w:val="32"/>
          <w:szCs w:val="32"/>
        </w:rPr>
        <w:t>安徽省大学生ERP数智化运营大赛</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仿宋_GB2312"/>
          <w:kern w:val="0"/>
          <w:sz w:val="32"/>
          <w:szCs w:val="32"/>
          <w:shd w:val="clear" w:color="auto" w:fill="FFFFFF"/>
          <w:lang w:bidi="ar"/>
        </w:rPr>
      </w:pPr>
      <w:r>
        <w:rPr>
          <w:rFonts w:ascii="仿宋_GB2312" w:hAnsi="Times New Roman" w:eastAsia="仿宋_GB2312" w:cs="仿宋_GB2312"/>
          <w:kern w:val="0"/>
          <w:sz w:val="32"/>
          <w:szCs w:val="32"/>
          <w:shd w:val="clear" w:color="auto" w:fill="FFFFFF"/>
          <w:lang w:bidi="ar"/>
        </w:rPr>
        <w:t>英语名称：</w:t>
      </w:r>
      <w:r>
        <w:rPr>
          <w:rFonts w:hint="eastAsia" w:ascii="仿宋_GB2312" w:hAnsi="Times New Roman" w:eastAsia="仿宋_GB2312" w:cs="仿宋_GB2312"/>
          <w:kern w:val="0"/>
          <w:sz w:val="32"/>
          <w:szCs w:val="32"/>
          <w:shd w:val="clear" w:color="auto" w:fill="FFFFFF"/>
          <w:lang w:bidi="ar"/>
        </w:rPr>
        <w:t>Anhui Provincial University Students ERP Digital Intelligent Operation Competition</w:t>
      </w:r>
    </w:p>
    <w:p>
      <w:pPr>
        <w:widowControl/>
        <w:shd w:val="clear" w:color="auto" w:fill="FFFFFF"/>
        <w:adjustRightInd w:val="0"/>
        <w:snapToGrid w:val="0"/>
        <w:spacing w:line="560" w:lineRule="exact"/>
        <w:ind w:firstLine="960"/>
        <w:jc w:val="left"/>
        <w:outlineLvl w:val="0"/>
        <w:rPr>
          <w:rFonts w:hint="eastAsia"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t>二、竞赛组织机构</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Times New Roman" w:hAnsi="Times New Roman" w:cs="Times New Roman"/>
          <w:sz w:val="24"/>
        </w:rPr>
      </w:pPr>
      <w:r>
        <w:rPr>
          <w:rFonts w:ascii="仿宋_GB2312" w:hAnsi="Times New Roman" w:eastAsia="仿宋_GB2312" w:cs="仿宋_GB2312"/>
          <w:kern w:val="0"/>
          <w:sz w:val="32"/>
          <w:szCs w:val="32"/>
          <w:shd w:val="clear" w:color="auto" w:fill="FFFFFF"/>
          <w:lang w:bidi="ar"/>
        </w:rPr>
        <w:t>主办单位：安徽省教育厅</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Times New Roman" w:eastAsia="仿宋_GB2312" w:cs="仿宋_GB2312"/>
          <w:kern w:val="0"/>
          <w:sz w:val="32"/>
          <w:szCs w:val="32"/>
          <w:shd w:val="clear" w:color="auto" w:fill="FFFFFF"/>
          <w:lang w:bidi="ar"/>
        </w:rPr>
      </w:pPr>
      <w:r>
        <w:rPr>
          <w:rFonts w:ascii="仿宋_GB2312" w:hAnsi="Times New Roman" w:eastAsia="仿宋_GB2312" w:cs="仿宋_GB2312"/>
          <w:kern w:val="0"/>
          <w:sz w:val="32"/>
          <w:szCs w:val="32"/>
          <w:shd w:val="clear" w:color="auto" w:fill="FFFFFF"/>
          <w:lang w:bidi="ar"/>
        </w:rPr>
        <w:t>承办单位：</w:t>
      </w:r>
      <w:r>
        <w:rPr>
          <w:rFonts w:hint="eastAsia" w:ascii="仿宋_GB2312" w:eastAsia="仿宋_GB2312" w:cs="仿宋_GB2312"/>
          <w:color w:val="000000"/>
          <w:sz w:val="32"/>
          <w:szCs w:val="32"/>
          <w:shd w:val="clear" w:color="auto" w:fill="FFFFFF"/>
          <w:lang w:bidi="ar"/>
        </w:rPr>
        <w:t>合肥大学、安徽审计职业学院</w:t>
      </w:r>
    </w:p>
    <w:p>
      <w:pPr>
        <w:pStyle w:val="5"/>
        <w:widowControl/>
        <w:numPr>
          <w:ilvl w:val="0"/>
          <w:numId w:val="0"/>
        </w:numPr>
        <w:shd w:val="clear" w:color="auto" w:fill="FFFFFF"/>
        <w:adjustRightInd w:val="0"/>
        <w:snapToGrid w:val="0"/>
        <w:spacing w:beforeAutospacing="0" w:afterAutospacing="0" w:line="560" w:lineRule="exact"/>
        <w:ind w:firstLine="640" w:firstLineChars="200"/>
        <w:outlineLvl w:val="1"/>
        <w:rPr>
          <w:rFonts w:hint="default" w:ascii="仿宋_GB2312" w:hAnsi="Times New Roman" w:eastAsia="仿宋_GB2312" w:cs="仿宋_GB2312"/>
          <w:kern w:val="0"/>
          <w:sz w:val="32"/>
          <w:szCs w:val="32"/>
          <w:shd w:val="clear" w:color="auto" w:fill="FFFFFF"/>
          <w:lang w:val="en-US" w:eastAsia="zh-CN" w:bidi="ar"/>
        </w:rPr>
      </w:pPr>
      <w:r>
        <w:rPr>
          <w:rFonts w:hint="eastAsia" w:ascii="仿宋_GB2312" w:hAnsi="Times New Roman" w:eastAsia="仿宋_GB2312" w:cs="仿宋_GB2312"/>
          <w:kern w:val="0"/>
          <w:sz w:val="32"/>
          <w:szCs w:val="32"/>
          <w:shd w:val="clear" w:color="auto" w:fill="FFFFFF"/>
          <w:lang w:val="en-US" w:eastAsia="zh-CN" w:bidi="ar"/>
        </w:rPr>
        <w:t>组织委员会、</w:t>
      </w:r>
      <w:r>
        <w:rPr>
          <w:rFonts w:ascii="仿宋_GB2312" w:hAnsi="Times New Roman" w:eastAsia="仿宋_GB2312" w:cs="仿宋_GB2312"/>
          <w:kern w:val="0"/>
          <w:sz w:val="32"/>
          <w:szCs w:val="32"/>
          <w:shd w:val="clear" w:color="auto" w:fill="FFFFFF"/>
          <w:lang w:val="en-US" w:eastAsia="zh-CN" w:bidi="ar"/>
        </w:rPr>
        <w:t>专家委员会</w:t>
      </w:r>
      <w:r>
        <w:rPr>
          <w:rFonts w:hint="eastAsia" w:ascii="仿宋_GB2312" w:hAnsi="Times New Roman" w:eastAsia="仿宋_GB2312" w:cs="仿宋_GB2312"/>
          <w:kern w:val="0"/>
          <w:sz w:val="32"/>
          <w:szCs w:val="32"/>
          <w:shd w:val="clear" w:color="auto" w:fill="FFFFFF"/>
          <w:lang w:val="en-US" w:eastAsia="zh-CN" w:bidi="ar"/>
        </w:rPr>
        <w:t>、</w:t>
      </w:r>
      <w:r>
        <w:rPr>
          <w:rFonts w:ascii="仿宋_GB2312" w:hAnsi="Times New Roman" w:eastAsia="仿宋_GB2312" w:cs="仿宋_GB2312"/>
          <w:kern w:val="0"/>
          <w:sz w:val="32"/>
          <w:szCs w:val="32"/>
          <w:shd w:val="clear" w:color="auto" w:fill="FFFFFF"/>
          <w:lang w:val="en-US" w:eastAsia="zh-CN" w:bidi="ar"/>
        </w:rPr>
        <w:t>仲裁委员会</w:t>
      </w:r>
      <w:r>
        <w:rPr>
          <w:rFonts w:hint="eastAsia" w:ascii="仿宋_GB2312" w:hAnsi="Times New Roman" w:eastAsia="仿宋_GB2312" w:cs="仿宋_GB2312"/>
          <w:kern w:val="0"/>
          <w:sz w:val="32"/>
          <w:szCs w:val="32"/>
          <w:shd w:val="clear" w:color="auto" w:fill="FFFFFF"/>
          <w:lang w:val="en-US" w:eastAsia="zh-CN" w:bidi="ar"/>
        </w:rPr>
        <w:t>、</w:t>
      </w:r>
      <w:r>
        <w:rPr>
          <w:rFonts w:ascii="仿宋_GB2312" w:hAnsi="Times New Roman" w:eastAsia="仿宋_GB2312" w:cs="仿宋_GB2312"/>
          <w:kern w:val="0"/>
          <w:sz w:val="32"/>
          <w:szCs w:val="32"/>
          <w:shd w:val="clear" w:color="auto" w:fill="FFFFFF"/>
          <w:lang w:val="en-US" w:eastAsia="zh-CN" w:bidi="ar"/>
        </w:rPr>
        <w:t>秘书处</w:t>
      </w:r>
      <w:r>
        <w:rPr>
          <w:rFonts w:hint="eastAsia" w:ascii="仿宋_GB2312" w:hAnsi="Times New Roman" w:eastAsia="仿宋_GB2312" w:cs="仿宋_GB2312"/>
          <w:kern w:val="0"/>
          <w:sz w:val="32"/>
          <w:szCs w:val="32"/>
          <w:shd w:val="clear" w:color="auto" w:fill="FFFFFF"/>
          <w:lang w:val="en-US" w:eastAsia="zh-CN" w:bidi="ar"/>
        </w:rPr>
        <w:t>详见附件2。</w:t>
      </w:r>
    </w:p>
    <w:p>
      <w:pPr>
        <w:widowControl/>
        <w:numPr>
          <w:ilvl w:val="0"/>
          <w:numId w:val="0"/>
        </w:numPr>
        <w:shd w:val="clear" w:color="auto" w:fill="FFFFFF"/>
        <w:adjustRightInd w:val="0"/>
        <w:snapToGrid w:val="0"/>
        <w:spacing w:line="560" w:lineRule="exact"/>
        <w:ind w:firstLine="640" w:firstLineChars="200"/>
        <w:jc w:val="left"/>
        <w:outlineLvl w:val="0"/>
        <w:rPr>
          <w:rFonts w:hint="eastAsia" w:ascii="黑体" w:hAnsi="黑体" w:eastAsia="黑体" w:cs="黑体"/>
          <w:kern w:val="0"/>
          <w:sz w:val="32"/>
          <w:szCs w:val="32"/>
          <w:highlight w:val="none"/>
          <w:shd w:val="clear" w:color="auto" w:fill="FFFFFF"/>
          <w:lang w:bidi="ar"/>
        </w:rPr>
      </w:pPr>
      <w:r>
        <w:rPr>
          <w:rFonts w:hint="eastAsia" w:ascii="黑体" w:hAnsi="黑体" w:eastAsia="黑体" w:cs="黑体"/>
          <w:kern w:val="0"/>
          <w:sz w:val="32"/>
          <w:szCs w:val="32"/>
          <w:highlight w:val="none"/>
          <w:shd w:val="clear" w:color="auto" w:fill="FFFFFF"/>
          <w:lang w:val="en-US" w:eastAsia="zh-CN" w:bidi="ar"/>
        </w:rPr>
        <w:t>三、</w:t>
      </w:r>
      <w:r>
        <w:rPr>
          <w:rFonts w:ascii="黑体" w:hAnsi="黑体" w:eastAsia="黑体" w:cs="黑体"/>
          <w:kern w:val="0"/>
          <w:sz w:val="32"/>
          <w:szCs w:val="32"/>
          <w:highlight w:val="none"/>
          <w:shd w:val="clear" w:color="auto" w:fill="FFFFFF"/>
          <w:lang w:bidi="ar"/>
        </w:rPr>
        <w:t>竞赛目的</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竞赛旨在深入贯彻国家数字经济与“双碳”战略部署，落实安徽省高等教育高质量发展要求，坚持以赛促学、以赛促教、以赛促创、以赛促建，依托仿真数智化企业运营环境，围绕ERP企业经营模拟、大数据分析与决策、双碳模拟经营实战、数字经济决策创新等赛道，构建覆盖企业运营、数智技术应用、低碳发展与创新决策的一体化竞赛体系，引导学生在动态竞争场景中提升企业资源计划、财务管控、生产调度、市场营销、供应链协同、数据分析、碳资产管理等综合能力，强化战略决策、组织协同、创新实践与低碳经营意识。同时，以赛事深化产教融合、科教融汇和校企协同育人，推动高校专业建设、课程改革与实践教学创新，培养懂经营、精技术、善决策、能创新、守低碳的复合型数智化管理人才，为安徽省数字经济发展、“双碳”目标实现及战略性新兴产业和智能制造业转型升级提供人才支撑。</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t>四、竞赛内容</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比赛分为</w:t>
      </w:r>
      <w:r>
        <w:rPr>
          <w:rFonts w:hint="eastAsia" w:ascii="仿宋_GB2312" w:hAnsi="仿宋_GB2312" w:eastAsia="仿宋_GB2312" w:cs="仿宋_GB2312"/>
          <w:sz w:val="32"/>
          <w:szCs w:val="32"/>
        </w:rPr>
        <w:t>ERP企业经营模拟、</w:t>
      </w:r>
      <w:r>
        <w:rPr>
          <w:rFonts w:hint="eastAsia" w:ascii="仿宋_GB2312" w:hAnsi="仿宋_GB2312" w:eastAsia="仿宋_GB2312" w:cs="仿宋_GB2312"/>
          <w:color w:val="000000"/>
          <w:kern w:val="0"/>
          <w:sz w:val="32"/>
          <w:szCs w:val="32"/>
        </w:rPr>
        <w:t>大数据分析应用与决策、</w:t>
      </w:r>
      <w:r>
        <w:rPr>
          <w:rFonts w:hint="eastAsia" w:ascii="仿宋_GB2312" w:hAnsi="仿宋_GB2312" w:eastAsia="仿宋_GB2312" w:cs="仿宋_GB2312"/>
          <w:sz w:val="32"/>
          <w:szCs w:val="32"/>
          <w:lang w:eastAsia="zh-CN"/>
        </w:rPr>
        <w:t>双碳模拟经营实战</w:t>
      </w:r>
      <w:r>
        <w:rPr>
          <w:rFonts w:hint="eastAsia" w:ascii="仿宋_GB2312" w:hAnsi="仿宋_GB2312" w:eastAsia="仿宋_GB2312" w:cs="仿宋_GB2312"/>
          <w:sz w:val="32"/>
          <w:szCs w:val="32"/>
        </w:rPr>
        <w:t>和数字经济决策创新四个赛道</w:t>
      </w:r>
      <w:r>
        <w:rPr>
          <w:rFonts w:hint="eastAsia" w:ascii="仿宋_GB2312" w:hAnsi="仿宋_GB2312" w:eastAsia="仿宋_GB2312" w:cs="仿宋_GB2312"/>
          <w:color w:val="000000"/>
          <w:kern w:val="0"/>
          <w:sz w:val="32"/>
          <w:szCs w:val="32"/>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b/>
          <w:bCs/>
          <w:color w:val="000000"/>
          <w:sz w:val="32"/>
          <w:szCs w:val="32"/>
          <w:shd w:val="clear" w:color="auto" w:fill="FFFFFF"/>
          <w:lang w:bidi="ar"/>
        </w:rPr>
      </w:pPr>
      <w:r>
        <w:rPr>
          <w:rFonts w:hint="eastAsia" w:ascii="仿宋_GB2312" w:hAnsi="仿宋_GB2312" w:eastAsia="仿宋_GB2312" w:cs="仿宋_GB2312"/>
          <w:b/>
          <w:bCs/>
          <w:sz w:val="32"/>
          <w:szCs w:val="32"/>
          <w:lang w:bidi="ar"/>
        </w:rPr>
        <w:t>（一）</w:t>
      </w:r>
      <w:r>
        <w:rPr>
          <w:rFonts w:hint="eastAsia" w:ascii="仿宋_GB2312" w:hAnsi="仿宋_GB2312" w:eastAsia="仿宋_GB2312" w:cs="仿宋_GB2312"/>
          <w:b/>
          <w:bCs/>
          <w:color w:val="000000"/>
          <w:sz w:val="32"/>
          <w:szCs w:val="32"/>
          <w:shd w:val="clear" w:color="auto" w:fill="FFFFFF"/>
          <w:lang w:bidi="ar"/>
        </w:rPr>
        <w:t>ERP企业经营模拟赛道</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赛项立足实际工作场景，重点考核选手企业经营管理综合职业能力和数智化素养。参赛学生根据企业背景资料，利用竞赛平台模拟企业从信息化经营模拟阶段到数字化经营模拟阶段的全过程。竞赛分为四个岗位：项目</w:t>
      </w:r>
      <w:r>
        <w:rPr>
          <w:rFonts w:hint="eastAsia" w:ascii="仿宋_GB2312" w:hAnsi="仿宋_GB2312" w:eastAsia="仿宋_GB2312" w:cs="仿宋_GB2312"/>
          <w:sz w:val="32"/>
          <w:szCs w:val="32"/>
        </w:rPr>
        <w:t>（生产）</w:t>
      </w:r>
      <w:r>
        <w:rPr>
          <w:rFonts w:ascii="仿宋_GB2312" w:hAnsi="仿宋_GB2312" w:eastAsia="仿宋_GB2312" w:cs="仿宋_GB2312"/>
          <w:sz w:val="32"/>
          <w:szCs w:val="32"/>
        </w:rPr>
        <w:t>总监、运营</w:t>
      </w:r>
      <w:r>
        <w:rPr>
          <w:rFonts w:hint="eastAsia" w:ascii="仿宋_GB2312" w:hAnsi="仿宋_GB2312" w:eastAsia="仿宋_GB2312" w:cs="仿宋_GB2312"/>
          <w:sz w:val="32"/>
          <w:szCs w:val="32"/>
        </w:rPr>
        <w:t>（财务）</w:t>
      </w:r>
      <w:r>
        <w:rPr>
          <w:rFonts w:ascii="仿宋_GB2312" w:hAnsi="仿宋_GB2312" w:eastAsia="仿宋_GB2312" w:cs="仿宋_GB2312"/>
          <w:sz w:val="32"/>
          <w:szCs w:val="32"/>
        </w:rPr>
        <w:t>总监、营销总监、人力资源总监，协同完成四个年度企业经营活动。信息化经营模拟阶段主要考察团队战略目标的确定、分析、选择与评价、实施、控制等企业战略管理基本能力，运营规划、质量管理及营销、供应链、财务管理等企业运营管理能力</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数字化经营模拟阶段主要考察团队利用智能算法、数据可视化分析等数字化技术，进行企业数字化管理与协同、数字信息分析与决策，使企业生产、加工、贮存、人力、营销等管理活动得以转型</w:t>
      </w:r>
      <w:r>
        <w:rPr>
          <w:rFonts w:hint="eastAsia" w:ascii="仿宋_GB2312" w:hAnsi="仿宋_GB2312" w:eastAsia="仿宋_GB2312" w:cs="仿宋_GB2312"/>
          <w:sz w:val="32"/>
          <w:szCs w:val="32"/>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（二）大数据分析应用与决策赛道</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1.大数据概念及特点</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考核学生对大数据的概念、特征、分类、Python变量及基本数据类型、Python运算符及常用语句、Python网络爬虫基础、Requests库入门。</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2.大数据分析工具应用</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主要考核使用大数据分析工具，需根据业务需求，结合财务管理场景，选择适用的大数据分析指标及分析模型，并选择可视化方案进行呈现。</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3.财务大数据职业判断考核</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考核学生在实际工作中财务大数据应用中的职业判断能力，如识别常用财报公式网站，识别常用银行利率、贷款利率网站，识别币种汇率网站，识别读取财报数据等基本职业判断能力。</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4.数据采集</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利用平台内嵌的大数据采集工具（python）爬取指定的数据（上市公司研报、资产负债表、利润表、现金流量表、业务数据表等），并对爬取数据进行清洗、加工。</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5.数据处理</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利用平台内置的数据处理工具完成爬取数据的数据清洗、数据集成等数据处理全过程。利用平台内置的Python代码编辑器爬取指定的数据（上市公司研报、资产负债表、利润表、现金流量表、国债利率、贷款基准利率、人民币基准利率、企业销售数据、成本数据、价格数据），并对爬取数据进行分析。</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6.数据挖掘</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利用大数据挖掘工具，结合案例企业决策情景，利用给定的数据挖掘工具，如基于逻辑回归预测员工流失、k-means客户价值分析、财务困境预警等；选择合适的数据建模算法，进行数据挖掘分析。</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ascii="仿宋_GB2312" w:hAnsi="仿宋_GB2312" w:eastAsia="仿宋_GB2312" w:cs="仿宋_GB2312"/>
          <w:sz w:val="32"/>
          <w:szCs w:val="32"/>
          <w:lang w:val="en-US" w:bidi="ar-SA"/>
        </w:rPr>
      </w:pPr>
      <w:r>
        <w:rPr>
          <w:rFonts w:hint="eastAsia" w:ascii="仿宋_GB2312" w:hAnsi="仿宋_GB2312" w:eastAsia="仿宋_GB2312" w:cs="仿宋_GB2312"/>
          <w:sz w:val="32"/>
          <w:szCs w:val="32"/>
          <w:lang w:val="en-US" w:bidi="ar-SA"/>
        </w:rPr>
        <w:t>7.数据分析与可视化呈现</w:t>
      </w:r>
    </w:p>
    <w:p>
      <w:pPr>
        <w:pStyle w:val="6"/>
        <w:keepNext w:val="0"/>
        <w:keepLines w:val="0"/>
        <w:pageBreakBefore w:val="0"/>
        <w:widowControl w:val="0"/>
        <w:numPr>
          <w:ilvl w:val="255"/>
          <w:numId w:val="0"/>
        </w:numPr>
        <w:kinsoku/>
        <w:wordWrap/>
        <w:overflowPunct/>
        <w:topLinePunct w:val="0"/>
        <w:autoSpaceDE/>
        <w:autoSpaceDN/>
        <w:bidi w:val="0"/>
        <w:adjustRightInd w:val="0"/>
        <w:snapToGrid w:val="0"/>
        <w:spacing w:before="0"/>
        <w:ind w:firstLine="640" w:firstLineChars="200"/>
        <w:textAlignment w:val="auto"/>
        <w:rPr>
          <w:rFonts w:hint="eastAsia" w:ascii="仿宋_GB2312" w:hAnsi="仿宋_GB2312" w:cs="仿宋_GB2312" w:eastAsiaTheme="minorEastAsia"/>
          <w:sz w:val="32"/>
          <w:szCs w:val="32"/>
          <w:lang w:val="en-US" w:bidi="ar-SA"/>
        </w:rPr>
      </w:pPr>
      <w:r>
        <w:rPr>
          <w:rFonts w:hint="eastAsia" w:ascii="仿宋_GB2312" w:hAnsi="仿宋_GB2312" w:eastAsia="仿宋_GB2312" w:cs="仿宋_GB2312"/>
          <w:sz w:val="32"/>
          <w:szCs w:val="32"/>
          <w:lang w:val="en-US" w:bidi="ar-SA"/>
        </w:rPr>
        <w:t>利用大数据可视化分析工具，结合平台内给定的案例企业商业分析问题，选择适用的数据分析模型，从多角度对整个行业数据从盈利能力、偿债能力、营运能力、发展能力等方面进行分析，并进行可视化故事板设计以及对可视化图形进行充分的解读。</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（三）</w:t>
      </w:r>
      <w:r>
        <w:rPr>
          <w:rFonts w:hint="eastAsia" w:ascii="仿宋_GB2312" w:hAnsi="仿宋_GB2312" w:eastAsia="仿宋_GB2312" w:cs="仿宋_GB2312"/>
          <w:b/>
          <w:bCs/>
          <w:sz w:val="32"/>
          <w:szCs w:val="32"/>
          <w:lang w:eastAsia="zh-CN" w:bidi="ar"/>
        </w:rPr>
        <w:t>双碳模拟经营实战</w:t>
      </w:r>
      <w:r>
        <w:rPr>
          <w:rFonts w:hint="eastAsia" w:ascii="仿宋_GB2312" w:hAnsi="仿宋_GB2312" w:eastAsia="仿宋_GB2312" w:cs="仿宋_GB2312"/>
          <w:b/>
          <w:bCs/>
          <w:sz w:val="32"/>
          <w:szCs w:val="32"/>
          <w:lang w:bidi="ar"/>
        </w:rPr>
        <w:t>赛道</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双碳模拟经营实战赛道旨在</w:t>
      </w:r>
      <w:r>
        <w:rPr>
          <w:rFonts w:hint="eastAsia" w:ascii="仿宋_GB2312" w:hAnsi="仿宋_GB2312" w:eastAsia="仿宋_GB2312" w:cs="仿宋_GB2312"/>
          <w:sz w:val="32"/>
          <w:szCs w:val="32"/>
        </w:rPr>
        <w:t>引导安徽省高校碳达峰碳中和人才培养体系建设，推动高校相关专业、学科改造升级；以赛促教，培养大学生绿色低碳理念和生产生活方式，深刻领悟“排碳有成本、减碳有收益”、“绿水青山就是金山银山”的生态文明思想内涵；培养学生的碳核算、碳减排、碳管理与碳经营的能力。</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各参赛队需要</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双碳模拟经营实战</w:t>
      </w:r>
      <w:r>
        <w:rPr>
          <w:rFonts w:hint="eastAsia" w:ascii="仿宋_GB2312" w:hAnsi="仿宋_GB2312" w:eastAsia="仿宋_GB2312" w:cs="仿宋_GB2312"/>
          <w:sz w:val="32"/>
          <w:szCs w:val="32"/>
        </w:rPr>
        <w:t>赛道竞赛平台中模拟经营一家企业，</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具有相同的资金、资产条件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外部商业环境</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模拟经营规则</w:t>
      </w:r>
      <w:r>
        <w:rPr>
          <w:rFonts w:hint="eastAsia" w:ascii="仿宋_GB2312" w:hAnsi="仿宋_GB2312" w:eastAsia="仿宋_GB2312" w:cs="仿宋_GB2312"/>
          <w:sz w:val="32"/>
          <w:szCs w:val="32"/>
          <w:lang w:val="en-US" w:eastAsia="zh-CN"/>
        </w:rPr>
        <w:t>下</w:t>
      </w:r>
      <w:r>
        <w:rPr>
          <w:rFonts w:hint="eastAsia" w:ascii="仿宋_GB2312" w:hAnsi="仿宋_GB2312" w:eastAsia="仿宋_GB2312" w:cs="仿宋_GB2312"/>
          <w:sz w:val="32"/>
          <w:szCs w:val="32"/>
        </w:rPr>
        <w:t>，开展绿贷申请、领取核定配额、碳汇采购、选择订单、物料及电力采购、产品生产交付、配额交易等诸多经营决策动作，通过产品交付获得收入</w:t>
      </w:r>
      <w:r>
        <w:rPr>
          <w:rFonts w:hint="eastAsia" w:ascii="仿宋_GB2312" w:hAnsi="仿宋_GB2312" w:eastAsia="仿宋_GB2312" w:cs="仿宋_GB2312"/>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各参赛队在竞争博弈的商战中持续经营5年，</w:t>
      </w:r>
      <w:r>
        <w:rPr>
          <w:rFonts w:hint="eastAsia" w:ascii="仿宋_GB2312" w:hAnsi="仿宋_GB2312" w:eastAsia="仿宋_GB2312" w:cs="仿宋_GB2312"/>
          <w:sz w:val="32"/>
          <w:szCs w:val="32"/>
          <w:lang w:val="en-US" w:eastAsia="zh-CN"/>
        </w:rPr>
        <w:t>比赛时长200分钟，</w:t>
      </w:r>
      <w:r>
        <w:rPr>
          <w:rFonts w:hint="eastAsia" w:ascii="仿宋_GB2312" w:hAnsi="仿宋_GB2312" w:eastAsia="仿宋_GB2312" w:cs="仿宋_GB2312"/>
          <w:sz w:val="32"/>
          <w:szCs w:val="32"/>
        </w:rPr>
        <w:t>每支参赛团队的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名队员共同完成，最后未破产的、以所有者权益排名以及填制报表成绩综合确定比赛成绩。</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数字经济决策创新赛道</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响应国家数字经济战略，聚焦数字经济复合型人才培养，通过数字经济决策创新赛</w:t>
      </w:r>
      <w:r>
        <w:rPr>
          <w:rFonts w:hint="eastAsia" w:ascii="仿宋_GB2312" w:hAnsi="仿宋_GB2312" w:eastAsia="仿宋_GB2312" w:cs="仿宋_GB2312"/>
          <w:sz w:val="32"/>
          <w:szCs w:val="32"/>
        </w:rPr>
        <w:t>道</w:t>
      </w:r>
      <w:r>
        <w:rPr>
          <w:rFonts w:ascii="仿宋_GB2312" w:hAnsi="仿宋_GB2312" w:eastAsia="仿宋_GB2312" w:cs="仿宋_GB2312"/>
          <w:sz w:val="32"/>
          <w:szCs w:val="32"/>
        </w:rPr>
        <w:t>搭建产学研用协同平台，激发青年创新活力，精准对接安徽数字产业需求，为区域数字经济高质量发展注入新动能。</w:t>
      </w:r>
      <w:r>
        <w:rPr>
          <w:rFonts w:hint="eastAsia" w:ascii="仿宋_GB2312" w:hAnsi="仿宋_GB2312" w:eastAsia="仿宋_GB2312" w:cs="仿宋_GB2312"/>
          <w:sz w:val="32"/>
          <w:szCs w:val="32"/>
        </w:rPr>
        <w:t>赛道</w:t>
      </w:r>
      <w:r>
        <w:rPr>
          <w:rFonts w:ascii="仿宋_GB2312" w:hAnsi="仿宋_GB2312" w:eastAsia="仿宋_GB2312" w:cs="仿宋_GB2312"/>
          <w:sz w:val="32"/>
          <w:szCs w:val="32"/>
        </w:rPr>
        <w:t>设置“数字经济决策”、“数字经济大数据分析”</w:t>
      </w:r>
      <w:r>
        <w:rPr>
          <w:rFonts w:hint="eastAsia" w:ascii="仿宋_GB2312" w:hAnsi="仿宋_GB2312" w:eastAsia="仿宋_GB2312" w:cs="仿宋_GB2312"/>
          <w:sz w:val="32"/>
          <w:szCs w:val="32"/>
          <w:lang w:val="en-US" w:eastAsia="zh-CN"/>
        </w:rPr>
        <w:t>两</w:t>
      </w:r>
      <w:r>
        <w:rPr>
          <w:rFonts w:ascii="仿宋_GB2312" w:hAnsi="仿宋_GB2312" w:eastAsia="仿宋_GB2312" w:cs="仿宋_GB2312"/>
          <w:sz w:val="32"/>
          <w:szCs w:val="32"/>
        </w:rPr>
        <w:t>大</w:t>
      </w:r>
      <w:r>
        <w:rPr>
          <w:rFonts w:hint="eastAsia" w:ascii="仿宋_GB2312" w:hAnsi="仿宋_GB2312" w:eastAsia="仿宋_GB2312" w:cs="仿宋_GB2312"/>
          <w:sz w:val="32"/>
          <w:szCs w:val="32"/>
          <w:lang w:val="en-US" w:eastAsia="zh-CN"/>
        </w:rPr>
        <w:t>环节</w:t>
      </w:r>
      <w:r>
        <w:rPr>
          <w:rFonts w:ascii="仿宋_GB2312" w:hAnsi="仿宋_GB2312" w:eastAsia="仿宋_GB2312" w:cs="仿宋_GB2312"/>
          <w:sz w:val="32"/>
          <w:szCs w:val="32"/>
        </w:rPr>
        <w:t>，全方位检验参赛者在数字经济领域的综合能力与创新思维。</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1.数字经济决策</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数字经济决策采用软件模拟平台“数字经济智能对抗实训平台”，以数字经济为背景，模拟真实的市场竞争环境。学生借助此平台，可进行大数据采集与分析，制定数字金融决策，进行数字人才招聘，构建数字化交易平台，并确保平台数字安全，实施数字营销和智慧物流等实际操作。</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该平台是专门针对数字经济领域的竞争对抗性系统。该平台紧跟数字经济发展潮流，以平台经济为核心切入点，依靠市场数据驱动，从数字技术、数智决策、数字安全等角度出发，通过模拟平台公司从完全市场竞争到寡头垄断竞争的经营历程，帮助学生深入理解完全竞争市场与寡头垄断市场的本质区别。</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2.数字经济大数据分析</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数字经济大数据分析利用“数字经济综合实训平台”，参赛队伍需运用大数据技术，深入挖掘数据背后的价值，为商业决策提供有力支持。</w:t>
      </w:r>
    </w:p>
    <w:p>
      <w:pPr>
        <w:shd w:val="clear" w:color="auto" w:fill="FFFFFF"/>
        <w:adjustRightInd w:val="0"/>
        <w:snapToGrid w:val="0"/>
        <w:spacing w:line="560" w:lineRule="exact"/>
        <w:ind w:firstLine="640" w:firstLineChars="200"/>
        <w:outlineLvl w:val="0"/>
        <w:rPr>
          <w:rFonts w:ascii="仿宋_GB2312" w:hAnsi="仿宋_GB2312" w:eastAsia="仿宋_GB2312" w:cs="仿宋_GB2312"/>
          <w:sz w:val="32"/>
          <w:szCs w:val="32"/>
        </w:rPr>
      </w:pPr>
      <w:r>
        <w:rPr>
          <w:rFonts w:ascii="仿宋_GB2312" w:hAnsi="仿宋_GB2312" w:eastAsia="仿宋_GB2312" w:cs="仿宋_GB2312"/>
          <w:sz w:val="32"/>
          <w:szCs w:val="32"/>
        </w:rPr>
        <w:t>该平台选取数字经济时代下典型行业背景，如餐饮外卖、网络直播平台、共享交通、智慧旅游等，深度融合数字经济与行业实践的教学工具，利用大数据技术，收集和分析各项行业数据，从而对平台进行预测性分析和诊断性分析。平台内置多种数据挖掘技术，如决策树、聚类算法、回归分析、文本挖掘等，满足不同场景下的数据分析需求。</w:t>
      </w:r>
    </w:p>
    <w:p>
      <w:pPr>
        <w:shd w:val="clear" w:color="auto" w:fill="FFFFFF"/>
        <w:adjustRightInd w:val="0"/>
        <w:snapToGrid w:val="0"/>
        <w:spacing w:line="560" w:lineRule="exact"/>
        <w:ind w:firstLine="960"/>
        <w:outlineLvl w:val="0"/>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五、</w:t>
      </w:r>
      <w:r>
        <w:rPr>
          <w:rFonts w:ascii="黑体" w:hAnsi="黑体" w:eastAsia="黑体" w:cs="黑体"/>
          <w:kern w:val="0"/>
          <w:sz w:val="32"/>
          <w:szCs w:val="32"/>
          <w:shd w:val="clear" w:color="auto" w:fill="FFFFFF"/>
          <w:lang w:bidi="ar"/>
        </w:rPr>
        <w:t>竞赛方式</w:t>
      </w:r>
    </w:p>
    <w:p>
      <w:pPr>
        <w:numPr>
          <w:ilvl w:val="0"/>
          <w:numId w:val="0"/>
        </w:numPr>
        <w:shd w:val="clear" w:color="auto" w:fill="FFFFFF"/>
        <w:adjustRightInd w:val="0"/>
        <w:snapToGrid w:val="0"/>
        <w:spacing w:line="560" w:lineRule="exact"/>
        <w:ind w:firstLine="643" w:firstLineChars="200"/>
        <w:outlineLvl w:val="9"/>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（一）ERP企业经营模拟赛道</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ERP企业经营模拟赛道分为校内赛和省级总决赛</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个阶段。</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校内赛：各院校自行组织校内评比，择优选拔参赛队伍，</w:t>
      </w:r>
      <w:bookmarkStart w:id="0" w:name="OLE_LINK1"/>
      <w:r>
        <w:rPr>
          <w:rFonts w:hint="eastAsia" w:ascii="仿宋_GB2312" w:hAnsi="仿宋_GB2312" w:eastAsia="仿宋_GB2312" w:cs="仿宋_GB2312"/>
          <w:sz w:val="32"/>
          <w:szCs w:val="32"/>
        </w:rPr>
        <w:t>每校</w:t>
      </w:r>
      <w:r>
        <w:rPr>
          <w:rFonts w:hint="eastAsia" w:ascii="仿宋_GB2312" w:hAnsi="仿宋_GB2312" w:eastAsia="仿宋_GB2312" w:cs="仿宋_GB2312"/>
          <w:sz w:val="32"/>
          <w:szCs w:val="32"/>
          <w:lang w:val="en-US" w:eastAsia="zh-CN"/>
        </w:rPr>
        <w:t>不超过3</w:t>
      </w:r>
      <w:r>
        <w:rPr>
          <w:rFonts w:hint="eastAsia" w:ascii="仿宋_GB2312" w:hAnsi="仿宋_GB2312" w:eastAsia="仿宋_GB2312" w:cs="仿宋_GB2312"/>
          <w:sz w:val="32"/>
          <w:szCs w:val="32"/>
        </w:rPr>
        <w:t>支队伍</w:t>
      </w:r>
      <w:bookmarkEnd w:id="0"/>
      <w:r>
        <w:rPr>
          <w:rFonts w:hint="eastAsia" w:ascii="仿宋_GB2312" w:hAnsi="仿宋_GB2312" w:eastAsia="仿宋_GB2312" w:cs="仿宋_GB2312"/>
          <w:sz w:val="32"/>
          <w:szCs w:val="32"/>
        </w:rPr>
        <w:t>参加省级</w:t>
      </w:r>
      <w:r>
        <w:rPr>
          <w:rFonts w:hint="eastAsia" w:ascii="仿宋_GB2312" w:hAnsi="仿宋_GB2312" w:eastAsia="仿宋_GB2312" w:cs="仿宋_GB2312"/>
          <w:sz w:val="32"/>
          <w:szCs w:val="32"/>
          <w:lang w:eastAsia="zh-CN"/>
        </w:rPr>
        <w:t>总决</w:t>
      </w:r>
      <w:r>
        <w:rPr>
          <w:rFonts w:hint="eastAsia" w:ascii="仿宋_GB2312" w:hAnsi="仿宋_GB2312" w:eastAsia="仿宋_GB2312" w:cs="仿宋_GB2312"/>
          <w:sz w:val="32"/>
          <w:szCs w:val="32"/>
        </w:rPr>
        <w:t>赛。</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总决赛：每支参赛队由4名学生组成，分别担任项目总监、运营总监、营销总监、人力资源总监四个岗位，协同完成连续4年（16季度）的企业模拟经营。竞赛内容涵盖信息化经营模拟与数字化经营模拟两个阶段，重点考核选手的企业经营管理综合能力和数智化素养。比赛时长480分钟，以第四年末系统生成的综合分数作为最终成绩评定依据。</w:t>
      </w:r>
    </w:p>
    <w:p>
      <w:pPr>
        <w:numPr>
          <w:ilvl w:val="0"/>
          <w:numId w:val="0"/>
        </w:numPr>
        <w:shd w:val="clear" w:color="auto" w:fill="FFFFFF"/>
        <w:adjustRightInd w:val="0"/>
        <w:snapToGrid w:val="0"/>
        <w:spacing w:line="560" w:lineRule="exact"/>
        <w:ind w:firstLine="643" w:firstLineChars="200"/>
        <w:outlineLvl w:val="9"/>
        <w:rPr>
          <w:rFonts w:hint="eastAsia" w:ascii="仿宋_GB2312" w:hAnsi="仿宋_GB2312" w:eastAsia="仿宋_GB2312" w:cs="仿宋_GB2312"/>
          <w:b/>
          <w:bCs/>
          <w:color w:val="auto"/>
          <w:kern w:val="2"/>
          <w:sz w:val="32"/>
          <w:szCs w:val="32"/>
          <w:shd w:val="clear" w:color="auto" w:fill="auto"/>
          <w:lang w:bidi="ar"/>
        </w:rPr>
      </w:pPr>
      <w:r>
        <w:rPr>
          <w:rFonts w:hint="eastAsia" w:ascii="仿宋_GB2312" w:hAnsi="仿宋_GB2312" w:eastAsia="仿宋_GB2312" w:cs="仿宋_GB2312"/>
          <w:b/>
          <w:bCs/>
          <w:color w:val="auto"/>
          <w:kern w:val="2"/>
          <w:sz w:val="32"/>
          <w:szCs w:val="32"/>
          <w:shd w:val="clear" w:color="auto" w:fill="auto"/>
          <w:lang w:bidi="ar"/>
        </w:rPr>
        <w:t>（二）大数据分析应用与决策赛道</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大数据分析应用与决策赛道分为校内赛和省级总决赛</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个阶段。</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校内赛：各院校自行组织校内评比，择优选拔参赛队伍，每校</w:t>
      </w:r>
      <w:r>
        <w:rPr>
          <w:rFonts w:hint="eastAsia" w:ascii="仿宋_GB2312" w:hAnsi="仿宋_GB2312" w:eastAsia="仿宋_GB2312" w:cs="仿宋_GB2312"/>
          <w:sz w:val="32"/>
          <w:szCs w:val="32"/>
          <w:lang w:val="en-US" w:eastAsia="zh-CN"/>
        </w:rPr>
        <w:t>不超过3</w:t>
      </w:r>
      <w:r>
        <w:rPr>
          <w:rFonts w:hint="eastAsia" w:ascii="仿宋_GB2312" w:hAnsi="仿宋_GB2312" w:eastAsia="仿宋_GB2312" w:cs="仿宋_GB2312"/>
          <w:sz w:val="32"/>
          <w:szCs w:val="32"/>
        </w:rPr>
        <w:t>支队伍参加省级</w:t>
      </w:r>
      <w:r>
        <w:rPr>
          <w:rFonts w:hint="eastAsia" w:ascii="仿宋_GB2312" w:hAnsi="仿宋_GB2312" w:eastAsia="仿宋_GB2312" w:cs="仿宋_GB2312"/>
          <w:sz w:val="32"/>
          <w:szCs w:val="32"/>
          <w:lang w:eastAsia="zh-CN"/>
        </w:rPr>
        <w:t>总决</w:t>
      </w:r>
      <w:r>
        <w:rPr>
          <w:rFonts w:hint="eastAsia" w:ascii="仿宋_GB2312" w:hAnsi="仿宋_GB2312" w:eastAsia="仿宋_GB2312" w:cs="仿宋_GB2312"/>
          <w:sz w:val="32"/>
          <w:szCs w:val="32"/>
        </w:rPr>
        <w:t>赛。</w:t>
      </w:r>
    </w:p>
    <w:p>
      <w:pPr>
        <w:shd w:val="clear" w:color="auto" w:fill="FFFFFF"/>
        <w:adjustRightInd w:val="0"/>
        <w:snapToGrid w:val="0"/>
        <w:spacing w:line="560" w:lineRule="exact"/>
        <w:ind w:firstLine="964"/>
        <w:rPr>
          <w:rFonts w:ascii="仿宋_GB2312" w:hAnsi="仿宋_GB2312" w:cs="仿宋_GB2312"/>
          <w:sz w:val="32"/>
          <w:szCs w:val="32"/>
        </w:rPr>
      </w:pPr>
      <w:r>
        <w:rPr>
          <w:rFonts w:hint="eastAsia" w:ascii="仿宋_GB2312" w:hAnsi="仿宋_GB2312" w:eastAsia="仿宋_GB2312" w:cs="仿宋_GB2312"/>
          <w:sz w:val="32"/>
          <w:szCs w:val="32"/>
        </w:rPr>
        <w:t>省级总决赛：每支参赛队由4名学生组成，完成财务大数据技术应用。竞赛内容涵盖主要有大数据概念及特点、大数据概念及特点、财务大数据职业判断考核、数据采集、数据处理、数据分析与可视化。</w:t>
      </w:r>
    </w:p>
    <w:p>
      <w:pPr>
        <w:numPr>
          <w:ilvl w:val="0"/>
          <w:numId w:val="0"/>
        </w:numPr>
        <w:shd w:val="clear" w:color="auto" w:fill="FFFFFF"/>
        <w:adjustRightInd w:val="0"/>
        <w:snapToGrid w:val="0"/>
        <w:spacing w:line="560" w:lineRule="exact"/>
        <w:ind w:firstLine="643" w:firstLineChars="200"/>
        <w:outlineLvl w:val="9"/>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（三）</w:t>
      </w:r>
      <w:r>
        <w:rPr>
          <w:rFonts w:hint="eastAsia" w:ascii="仿宋_GB2312" w:hAnsi="仿宋_GB2312" w:eastAsia="仿宋_GB2312" w:cs="仿宋_GB2312"/>
          <w:b/>
          <w:bCs/>
          <w:sz w:val="32"/>
          <w:szCs w:val="32"/>
          <w:lang w:eastAsia="zh-CN" w:bidi="ar"/>
        </w:rPr>
        <w:t>双碳模拟经营实战</w:t>
      </w:r>
      <w:r>
        <w:rPr>
          <w:rFonts w:hint="eastAsia" w:ascii="仿宋_GB2312" w:hAnsi="仿宋_GB2312" w:eastAsia="仿宋_GB2312" w:cs="仿宋_GB2312"/>
          <w:b/>
          <w:bCs/>
          <w:sz w:val="32"/>
          <w:szCs w:val="32"/>
          <w:lang w:bidi="ar"/>
        </w:rPr>
        <w:t>赛道</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双碳模拟经营实战</w:t>
      </w:r>
      <w:r>
        <w:rPr>
          <w:rFonts w:hint="eastAsia" w:ascii="仿宋_GB2312" w:hAnsi="仿宋_GB2312" w:eastAsia="仿宋_GB2312" w:cs="仿宋_GB2312"/>
          <w:sz w:val="32"/>
          <w:szCs w:val="32"/>
        </w:rPr>
        <w:t>赛道分为校内赛和省级总决赛</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个阶段。</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校内赛：各院校自行组织校内评比，择优选拔参赛队伍，每校</w:t>
      </w:r>
      <w:r>
        <w:rPr>
          <w:rFonts w:hint="eastAsia" w:ascii="仿宋_GB2312" w:hAnsi="仿宋_GB2312" w:eastAsia="仿宋_GB2312" w:cs="仿宋_GB2312"/>
          <w:sz w:val="32"/>
          <w:szCs w:val="32"/>
          <w:lang w:val="en-US" w:eastAsia="zh-CN"/>
        </w:rPr>
        <w:t>不超过3</w:t>
      </w:r>
      <w:r>
        <w:rPr>
          <w:rFonts w:hint="eastAsia" w:ascii="仿宋_GB2312" w:hAnsi="仿宋_GB2312" w:eastAsia="仿宋_GB2312" w:cs="仿宋_GB2312"/>
          <w:sz w:val="32"/>
          <w:szCs w:val="32"/>
        </w:rPr>
        <w:t>支队伍参加省级</w:t>
      </w:r>
      <w:r>
        <w:rPr>
          <w:rFonts w:hint="eastAsia" w:ascii="仿宋_GB2312" w:hAnsi="仿宋_GB2312" w:eastAsia="仿宋_GB2312" w:cs="仿宋_GB2312"/>
          <w:sz w:val="32"/>
          <w:szCs w:val="32"/>
          <w:lang w:eastAsia="zh-CN"/>
        </w:rPr>
        <w:t>总决</w:t>
      </w:r>
      <w:r>
        <w:rPr>
          <w:rFonts w:hint="eastAsia" w:ascii="仿宋_GB2312" w:hAnsi="仿宋_GB2312" w:eastAsia="仿宋_GB2312" w:cs="仿宋_GB2312"/>
          <w:sz w:val="32"/>
          <w:szCs w:val="32"/>
        </w:rPr>
        <w:t>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省级总决赛：每支参赛队由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名学生组成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团队</w:t>
      </w:r>
      <w:r>
        <w:rPr>
          <w:rFonts w:hint="eastAsia" w:ascii="仿宋_GB2312" w:hAnsi="仿宋_GB2312" w:eastAsia="仿宋_GB2312" w:cs="仿宋_GB2312"/>
          <w:sz w:val="32"/>
          <w:szCs w:val="32"/>
          <w:highlight w:val="none"/>
          <w:lang w:val="en-US" w:eastAsia="zh-CN"/>
        </w:rPr>
        <w:t>模拟</w:t>
      </w:r>
      <w:r>
        <w:rPr>
          <w:rFonts w:hint="eastAsia" w:ascii="仿宋_GB2312" w:hAnsi="仿宋_GB2312" w:eastAsia="仿宋_GB2312" w:cs="仿宋_GB2312"/>
          <w:sz w:val="32"/>
          <w:szCs w:val="32"/>
          <w:highlight w:val="none"/>
        </w:rPr>
        <w:t>经营一家企业，根据“碳达峰”“碳中和”在企业中的真实应用，参与在双碳战略下的企业经营决策。在经营过程中，各参赛队根据既定的资金规模及企业生产经营条件，基于相同的经营环境条件和模拟经营规则，在市场博弈过程中连续从事5个年度的经营活动，根据最终经营成果决出排名。</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数字经济决策创新赛道</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数字经济决策创新</w:t>
      </w:r>
      <w:r>
        <w:rPr>
          <w:rFonts w:ascii="仿宋_GB2312" w:hAnsi="仿宋_GB2312" w:eastAsia="仿宋_GB2312" w:cs="仿宋_GB2312"/>
          <w:sz w:val="32"/>
          <w:szCs w:val="32"/>
        </w:rPr>
        <w:t>赛道分为校内赛和省级总决赛</w:t>
      </w:r>
      <w:r>
        <w:rPr>
          <w:rFonts w:hint="eastAsia" w:ascii="仿宋_GB2312" w:hAnsi="仿宋_GB2312" w:eastAsia="仿宋_GB2312" w:cs="仿宋_GB2312"/>
          <w:sz w:val="32"/>
          <w:szCs w:val="32"/>
          <w:lang w:val="en-US" w:eastAsia="zh-CN"/>
        </w:rPr>
        <w:t>两</w:t>
      </w:r>
      <w:r>
        <w:rPr>
          <w:rFonts w:ascii="仿宋_GB2312" w:hAnsi="仿宋_GB2312" w:eastAsia="仿宋_GB2312" w:cs="仿宋_GB2312"/>
          <w:sz w:val="32"/>
          <w:szCs w:val="32"/>
        </w:rPr>
        <w:t>个阶段。</w:t>
      </w:r>
    </w:p>
    <w:p>
      <w:pPr>
        <w:shd w:val="clear" w:color="auto" w:fill="FFFFFF"/>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校内赛：各院校自行组织校内评比，择优选拔参赛队伍，</w:t>
      </w:r>
      <w:r>
        <w:rPr>
          <w:rFonts w:hint="eastAsia" w:ascii="仿宋_GB2312" w:hAnsi="仿宋_GB2312" w:eastAsia="仿宋_GB2312" w:cs="仿宋_GB2312"/>
          <w:sz w:val="32"/>
          <w:szCs w:val="32"/>
        </w:rPr>
        <w:t>每校</w:t>
      </w:r>
      <w:r>
        <w:rPr>
          <w:rFonts w:hint="eastAsia" w:ascii="仿宋_GB2312" w:hAnsi="仿宋_GB2312" w:eastAsia="仿宋_GB2312" w:cs="仿宋_GB2312"/>
          <w:sz w:val="32"/>
          <w:szCs w:val="32"/>
          <w:lang w:val="en-US" w:eastAsia="zh-CN"/>
        </w:rPr>
        <w:t>不超过3</w:t>
      </w:r>
      <w:r>
        <w:rPr>
          <w:rFonts w:hint="eastAsia" w:ascii="仿宋_GB2312" w:hAnsi="仿宋_GB2312" w:eastAsia="仿宋_GB2312" w:cs="仿宋_GB2312"/>
          <w:sz w:val="32"/>
          <w:szCs w:val="32"/>
        </w:rPr>
        <w:t>支队伍</w:t>
      </w:r>
      <w:r>
        <w:rPr>
          <w:rFonts w:hint="eastAsia" w:ascii="仿宋_GB2312" w:hAnsi="仿宋_GB2312" w:eastAsia="仿宋_GB2312" w:cs="仿宋_GB2312"/>
          <w:sz w:val="32"/>
          <w:szCs w:val="32"/>
          <w:lang w:val="en-US" w:eastAsia="zh-CN"/>
        </w:rPr>
        <w:t>参加省级总决赛。</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省级总决赛：每支参赛队由4名学生组成。竞赛内容涵盖</w:t>
      </w:r>
      <w:r>
        <w:rPr>
          <w:rFonts w:ascii="仿宋_GB2312" w:hAnsi="仿宋_GB2312" w:eastAsia="仿宋_GB2312" w:cs="仿宋_GB2312"/>
          <w:sz w:val="32"/>
          <w:szCs w:val="32"/>
          <w:highlight w:val="none"/>
        </w:rPr>
        <w:t>“数字经济决策”、“数字经济大数据分析”</w:t>
      </w:r>
      <w:r>
        <w:rPr>
          <w:rFonts w:hint="eastAsia" w:ascii="仿宋_GB2312" w:hAnsi="仿宋_GB2312" w:eastAsia="仿宋_GB2312" w:cs="仿宋_GB2312"/>
          <w:sz w:val="32"/>
          <w:szCs w:val="32"/>
          <w:highlight w:val="none"/>
          <w:lang w:val="en-US" w:eastAsia="zh-CN"/>
        </w:rPr>
        <w:t>两个</w:t>
      </w:r>
      <w:r>
        <w:rPr>
          <w:rFonts w:hint="eastAsia" w:ascii="仿宋_GB2312" w:hAnsi="仿宋_GB2312" w:eastAsia="仿宋_GB2312" w:cs="仿宋_GB2312"/>
          <w:sz w:val="32"/>
          <w:szCs w:val="32"/>
          <w:highlight w:val="none"/>
        </w:rPr>
        <w:t>模块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重点考察学生数字经济专业素养、数据分析处理能力、商业逻辑研判能力、团队协作统筹能力以及综合决策创新能力，全面检验参赛选手理论应用、实操研判与临场协同竞技水平。</w:t>
      </w:r>
    </w:p>
    <w:p>
      <w:pPr>
        <w:widowControl/>
        <w:shd w:val="clear" w:color="auto" w:fill="FFFFFF"/>
        <w:adjustRightInd w:val="0"/>
        <w:snapToGrid w:val="0"/>
        <w:spacing w:line="560" w:lineRule="exact"/>
        <w:ind w:firstLine="640" w:firstLineChars="200"/>
        <w:jc w:val="left"/>
        <w:outlineLvl w:val="0"/>
        <w:rPr>
          <w:rFonts w:hint="eastAsia"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t>六、竞赛流程</w:t>
      </w:r>
    </w:p>
    <w:p>
      <w:pPr>
        <w:shd w:val="clear" w:color="auto" w:fill="FFFFFF"/>
        <w:adjustRightInd w:val="0"/>
        <w:snapToGrid w:val="0"/>
        <w:spacing w:line="560" w:lineRule="exact"/>
        <w:ind w:firstLine="643" w:firstLineChars="200"/>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（一）ERP企业经营模拟赛道</w:t>
      </w:r>
    </w:p>
    <w:p>
      <w:pPr>
        <w:shd w:val="clear" w:color="auto" w:fill="FFFFFF"/>
        <w:adjustRightInd w:val="0"/>
        <w:snapToGrid w:val="0"/>
        <w:spacing w:line="560" w:lineRule="exact"/>
        <w:ind w:firstLine="643" w:firstLineChars="200"/>
        <w:outlineLvl w:val="2"/>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1.校内赛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各院校按照章程在规定时间内自行完成校内赛的组织和评比环节。</w:t>
      </w:r>
    </w:p>
    <w:p>
      <w:pPr>
        <w:shd w:val="clear" w:color="auto" w:fill="FFFFFF"/>
        <w:adjustRightInd w:val="0"/>
        <w:snapToGrid w:val="0"/>
        <w:spacing w:line="560" w:lineRule="exact"/>
        <w:ind w:firstLine="643" w:firstLineChars="200"/>
        <w:outlineLvl w:val="2"/>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.省级总决赛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赛项立足实际工作场景，重点考核选手企业经营管理综合职业能力和数智化素养。参赛学生根据企业背景资料，利用竞赛平台模拟企业从信息化经营模拟阶段到数字化经营模拟阶段的全过程。竞赛分为四个岗位：项目总监、运营总监、营销总监、人力资源总监，协同完成四个年度企业经营活动。信息化经营模拟阶段主要考察团队战略目标的确定、分析、选择与评价、实施、控制等企业战略管理基本能力，运营规划、质量管理及营销、供应链、财务管理等企业运营管理能力</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数字化经营模拟阶段主要考察团队利用智能算法、RPA机器人、数据可视化分析等数字化技术，进行企业数字化管理与协同、数字信息分析与决策，使企业生产、加工、贮存、人力、营销等管理活动得以转型</w:t>
      </w:r>
      <w:r>
        <w:rPr>
          <w:rFonts w:hint="eastAsia" w:ascii="仿宋_GB2312" w:hAnsi="仿宋_GB2312" w:eastAsia="仿宋_GB2312" w:cs="仿宋_GB2312"/>
          <w:sz w:val="32"/>
          <w:szCs w:val="32"/>
        </w:rPr>
        <w:t>。</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比赛模拟经营年数4年16季度，考试时长480分钟，每支参赛团队的4名队员共同完成，以第四年的系统分数排名顺序确定评分，作为该环节得分。</w:t>
      </w:r>
    </w:p>
    <w:p>
      <w:pPr>
        <w:shd w:val="clear" w:color="auto" w:fill="FFFFFF"/>
        <w:adjustRightInd w:val="0"/>
        <w:snapToGrid w:val="0"/>
        <w:spacing w:line="560" w:lineRule="exact"/>
        <w:ind w:firstLine="643" w:firstLineChars="200"/>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（二）大数据分析应用与决策赛道</w:t>
      </w:r>
    </w:p>
    <w:p>
      <w:pPr>
        <w:shd w:val="clear" w:color="auto" w:fill="FFFFFF"/>
        <w:adjustRightInd w:val="0"/>
        <w:snapToGrid w:val="0"/>
        <w:spacing w:line="560" w:lineRule="exact"/>
        <w:ind w:firstLine="643" w:firstLineChars="200"/>
        <w:outlineLvl w:val="2"/>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1.校内赛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各院校按照章程在规定时间内完成校内赛的组织和评比环节。</w:t>
      </w:r>
    </w:p>
    <w:p>
      <w:pPr>
        <w:shd w:val="clear" w:color="auto" w:fill="FFFFFF"/>
        <w:adjustRightInd w:val="0"/>
        <w:snapToGrid w:val="0"/>
        <w:spacing w:line="560" w:lineRule="exact"/>
        <w:ind w:firstLine="643" w:firstLineChars="200"/>
        <w:outlineLvl w:val="2"/>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.省级总决赛</w:t>
      </w:r>
    </w:p>
    <w:p>
      <w:pPr>
        <w:widowControl/>
        <w:shd w:val="clear" w:color="auto" w:fill="FFFFFF"/>
        <w:adjustRightInd w:val="0"/>
        <w:snapToGrid w:val="0"/>
        <w:spacing w:line="560" w:lineRule="exact"/>
        <w:ind w:firstLine="640" w:firstLineChars="200"/>
        <w:jc w:val="left"/>
        <w:rPr>
          <w:rFonts w:ascii="仿宋_GB2312" w:hAnsi="Microsoft YaHei UI" w:eastAsia="仿宋_GB2312" w:cs="仿宋_GB2312"/>
          <w:color w:val="000000"/>
          <w:kern w:val="0"/>
          <w:sz w:val="32"/>
          <w:szCs w:val="32"/>
          <w:highlight w:val="none"/>
          <w:shd w:val="clear" w:color="auto" w:fill="FFFFFF"/>
          <w:lang w:bidi="ar"/>
        </w:rPr>
      </w:pPr>
      <w:r>
        <w:rPr>
          <w:rFonts w:hint="eastAsia" w:ascii="仿宋_GB2312" w:hAnsi="Microsoft YaHei UI" w:eastAsia="仿宋_GB2312" w:cs="仿宋_GB2312"/>
          <w:color w:val="000000"/>
          <w:kern w:val="0"/>
          <w:sz w:val="32"/>
          <w:szCs w:val="32"/>
          <w:highlight w:val="none"/>
          <w:shd w:val="clear" w:color="auto" w:fill="FFFFFF"/>
          <w:lang w:bidi="ar"/>
        </w:rPr>
        <w:t>本次比赛大数据分析应用与决策赛道基于数字经济时代商业领域大数据应用人才需求，结合当前大数据等现代信息技术在商业领域的最新应用，依托高度场景化、沉浸式的真实商用大数据分析系统，为学生搭建一个理论与实践一体的综合性竞赛平台。</w:t>
      </w:r>
    </w:p>
    <w:p>
      <w:pPr>
        <w:shd w:val="clear" w:color="auto" w:fill="FFFFFF"/>
        <w:adjustRightInd w:val="0"/>
        <w:snapToGrid w:val="0"/>
        <w:spacing w:line="560" w:lineRule="exact"/>
        <w:ind w:firstLine="643" w:firstLineChars="200"/>
        <w:outlineLvl w:val="1"/>
        <w:rPr>
          <w:rFonts w:ascii="仿宋_GB2312" w:hAnsi="Microsoft YaHei UI" w:eastAsia="仿宋_GB2312" w:cs="仿宋_GB2312"/>
          <w:color w:val="000000"/>
          <w:kern w:val="0"/>
          <w:sz w:val="32"/>
          <w:szCs w:val="32"/>
          <w:shd w:val="clear" w:color="auto" w:fill="FFFFFF"/>
          <w:lang w:bidi="ar"/>
        </w:rPr>
      </w:pPr>
      <w:r>
        <w:rPr>
          <w:rFonts w:hint="eastAsia" w:ascii="仿宋_GB2312" w:hAnsi="仿宋_GB2312" w:eastAsia="仿宋_GB2312" w:cs="仿宋_GB2312"/>
          <w:b/>
          <w:bCs/>
          <w:sz w:val="32"/>
          <w:szCs w:val="32"/>
        </w:rPr>
        <w:t>（三）</w:t>
      </w:r>
      <w:r>
        <w:rPr>
          <w:rFonts w:hint="eastAsia" w:ascii="仿宋_GB2312" w:hAnsi="仿宋_GB2312" w:eastAsia="仿宋_GB2312" w:cs="仿宋_GB2312"/>
          <w:b/>
          <w:bCs/>
          <w:sz w:val="32"/>
          <w:szCs w:val="32"/>
          <w:lang w:eastAsia="zh-CN" w:bidi="ar"/>
        </w:rPr>
        <w:t>双碳模拟经营实战</w:t>
      </w:r>
      <w:r>
        <w:rPr>
          <w:rFonts w:hint="eastAsia" w:ascii="仿宋_GB2312" w:hAnsi="仿宋_GB2312" w:eastAsia="仿宋_GB2312" w:cs="仿宋_GB2312"/>
          <w:b/>
          <w:bCs/>
          <w:sz w:val="32"/>
          <w:szCs w:val="32"/>
          <w:lang w:bidi="ar"/>
        </w:rPr>
        <w:t>赛道</w:t>
      </w:r>
    </w:p>
    <w:p>
      <w:pPr>
        <w:shd w:val="clear" w:color="auto" w:fill="FFFFFF"/>
        <w:adjustRightInd w:val="0"/>
        <w:snapToGrid w:val="0"/>
        <w:spacing w:line="560" w:lineRule="exact"/>
        <w:ind w:firstLine="643" w:firstLineChars="200"/>
        <w:outlineLvl w:val="2"/>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1.校内赛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各院校按照章程在规定时间内完成校内赛的组织和评比环节。</w:t>
      </w:r>
    </w:p>
    <w:p>
      <w:pPr>
        <w:shd w:val="clear" w:color="auto" w:fill="FFFFFF"/>
        <w:adjustRightInd w:val="0"/>
        <w:snapToGrid w:val="0"/>
        <w:spacing w:line="560" w:lineRule="exact"/>
        <w:ind w:firstLine="643" w:firstLineChars="200"/>
        <w:rPr>
          <w:rFonts w:ascii="仿宋_GB2312" w:hAnsi="仿宋_GB2312" w:eastAsia="仿宋_GB2312" w:cs="仿宋_GB2312"/>
          <w:b w:val="0"/>
          <w:bCs w:val="0"/>
          <w:sz w:val="32"/>
          <w:szCs w:val="32"/>
          <w:highlight w:val="yellow"/>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.省级总决赛</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本次大赛，</w:t>
      </w:r>
      <w:r>
        <w:rPr>
          <w:rFonts w:hint="eastAsia" w:ascii="仿宋_GB2312" w:hAnsi="仿宋_GB2312" w:eastAsia="仿宋_GB2312" w:cs="仿宋_GB2312"/>
          <w:sz w:val="32"/>
          <w:szCs w:val="32"/>
        </w:rPr>
        <w:t>选手需要学习内置于平台中的物料、煤电绿电价格、碳资产定价、物料碳排放、生产线耗电和排放参数，以及订单选单、料电耗用规则、碳排放核算规则等模拟经营规则，基于规则研究和经营策略做出各项经营决策。</w:t>
      </w:r>
    </w:p>
    <w:p>
      <w:pPr>
        <w:shd w:val="clear" w:color="auto" w:fill="FFFFFF"/>
        <w:adjustRightInd w:val="0"/>
        <w:snapToGrid w:val="0"/>
        <w:spacing w:line="560" w:lineRule="exact"/>
        <w:ind w:firstLine="640" w:firstLineChars="200"/>
        <w:rPr>
          <w:rFonts w:ascii="仿宋_GB2312" w:hAnsi="仿宋_GB2312" w:eastAsia="仿宋_GB2312" w:cs="仿宋_GB2312"/>
          <w:b w:val="0"/>
          <w:bCs w:val="0"/>
          <w:sz w:val="32"/>
          <w:szCs w:val="32"/>
          <w:highlight w:val="yellow"/>
        </w:rPr>
      </w:pPr>
      <w:r>
        <w:rPr>
          <w:rFonts w:hint="eastAsia" w:ascii="仿宋_GB2312" w:hAnsi="仿宋_GB2312" w:eastAsia="仿宋_GB2312" w:cs="仿宋_GB2312"/>
          <w:sz w:val="32"/>
          <w:szCs w:val="32"/>
        </w:rPr>
        <w:t>比赛模拟经营年数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年，考试时长</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0分钟，每支参赛团队的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名队员共同完成，最后未破产的、以所有者权益排名以及填制报表成绩综合确定比赛成绩。</w:t>
      </w:r>
    </w:p>
    <w:p>
      <w:pPr>
        <w:shd w:val="clear" w:color="auto" w:fill="FFFFFF"/>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（四）数字</w:t>
      </w:r>
      <w:r>
        <w:rPr>
          <w:rFonts w:hint="eastAsia" w:ascii="仿宋_GB2312" w:hAnsi="仿宋_GB2312" w:eastAsia="仿宋_GB2312" w:cs="仿宋_GB2312"/>
          <w:b/>
          <w:bCs/>
          <w:sz w:val="32"/>
          <w:szCs w:val="32"/>
          <w:lang w:val="en-US" w:eastAsia="zh-CN"/>
        </w:rPr>
        <w:t>经济</w:t>
      </w:r>
      <w:r>
        <w:rPr>
          <w:rFonts w:hint="eastAsia" w:ascii="仿宋_GB2312" w:hAnsi="仿宋_GB2312" w:eastAsia="仿宋_GB2312" w:cs="仿宋_GB2312"/>
          <w:b/>
          <w:bCs/>
          <w:sz w:val="32"/>
          <w:szCs w:val="32"/>
        </w:rPr>
        <w:t>决策创新赛道</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1.校内赛</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各院校按照章程在规定时间内完成校内赛的组织和评比环节。</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2.省级</w:t>
      </w:r>
      <w:r>
        <w:rPr>
          <w:rFonts w:hint="eastAsia" w:ascii="仿宋_GB2312" w:hAnsi="仿宋_GB2312" w:eastAsia="仿宋_GB2312" w:cs="仿宋_GB2312"/>
          <w:sz w:val="32"/>
          <w:szCs w:val="32"/>
          <w:lang w:val="en-US" w:eastAsia="zh-CN"/>
        </w:rPr>
        <w:t>总决</w:t>
      </w:r>
      <w:r>
        <w:rPr>
          <w:rFonts w:ascii="仿宋_GB2312" w:hAnsi="仿宋_GB2312" w:eastAsia="仿宋_GB2312" w:cs="仿宋_GB2312"/>
          <w:sz w:val="32"/>
          <w:szCs w:val="32"/>
        </w:rPr>
        <w:t>赛</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本次比赛数字经济决策创新赛道</w:t>
      </w:r>
      <w:r>
        <w:rPr>
          <w:rFonts w:hint="eastAsia" w:ascii="仿宋_GB2312" w:hAnsi="仿宋_GB2312" w:eastAsia="仿宋_GB2312" w:cs="仿宋_GB2312"/>
          <w:sz w:val="32"/>
          <w:szCs w:val="32"/>
        </w:rPr>
        <w:t>沿用两大竞赛</w:t>
      </w:r>
      <w:r>
        <w:rPr>
          <w:rFonts w:hint="eastAsia"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rPr>
        <w:t>统一考核标准，采用同台竞技、统一评分规则：</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数字经济决策</w:t>
      </w:r>
      <w:r>
        <w:rPr>
          <w:rFonts w:hint="eastAsia"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数字经济智能对抗实训平台为竞赛载体，紧扣平台经济核心逻辑，以真实市场数据为驱动，从数字技术应用、数智化经营决策、数字安全防护等维度，模拟平台企业完整经营周期。参赛队伍全程自主制定经营策略，在多队市场对抗中比拼战略布局、动态决策与风险管控能力，深入理解不同市场竞争形态的运行规律。</w:t>
      </w:r>
    </w:p>
    <w:p>
      <w:pPr>
        <w:shd w:val="clear" w:color="auto" w:fill="FFFFFF"/>
        <w:adjustRightInd w:val="0"/>
        <w:snapToGrid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数字经济大数据分析</w:t>
      </w:r>
      <w:r>
        <w:rPr>
          <w:rFonts w:hint="eastAsia"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数字经济综合实训平台，聚焦数字经济典型行业场景，参赛团队运用专业大数据技术工具，完成行业海量数据整理、特征挖掘与深度分析；借助平台各类算法模型，开展经营诊断、趋势预判与价值提炼，输出完整数据分析报告，考核学生数据处理、模型应用、逻辑分析及商业赋能能力。</w:t>
      </w:r>
    </w:p>
    <w:p>
      <w:pPr>
        <w:widowControl/>
        <w:shd w:val="clear" w:color="auto" w:fill="FFFFFF"/>
        <w:adjustRightInd w:val="0"/>
        <w:snapToGrid w:val="0"/>
        <w:spacing w:line="560" w:lineRule="exact"/>
        <w:ind w:firstLine="640" w:firstLineChars="200"/>
        <w:jc w:val="left"/>
        <w:outlineLvl w:val="0"/>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七</w:t>
      </w:r>
      <w:r>
        <w:rPr>
          <w:rFonts w:ascii="黑体" w:hAnsi="黑体" w:eastAsia="黑体" w:cs="黑体"/>
          <w:kern w:val="0"/>
          <w:sz w:val="32"/>
          <w:szCs w:val="32"/>
          <w:shd w:val="clear" w:color="auto" w:fill="FFFFFF"/>
          <w:lang w:bidi="ar"/>
        </w:rPr>
        <w:t>、竞赛规则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（一）参赛资格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安徽省内高校的全日制在校本、专科生，均可组队参赛。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参赛选手所读专业须为管理类、经济类。</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报名要求</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各赛道</w:t>
      </w:r>
      <w:r>
        <w:rPr>
          <w:rFonts w:hint="eastAsia" w:ascii="仿宋_GB2312" w:hAnsi="仿宋_GB2312" w:eastAsia="仿宋_GB2312" w:cs="仿宋_GB2312"/>
          <w:sz w:val="32"/>
          <w:szCs w:val="32"/>
          <w:highlight w:val="none"/>
        </w:rPr>
        <w:t>各校通过校内赛，遴选确定</w:t>
      </w:r>
      <w:r>
        <w:rPr>
          <w:rFonts w:hint="eastAsia"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支</w:t>
      </w:r>
      <w:r>
        <w:rPr>
          <w:rFonts w:hint="eastAsia" w:ascii="仿宋_GB2312" w:hAnsi="仿宋_GB2312" w:eastAsia="仿宋_GB2312" w:cs="仿宋_GB2312"/>
          <w:sz w:val="32"/>
          <w:szCs w:val="32"/>
          <w:highlight w:val="none"/>
        </w:rPr>
        <w:t>参赛队伍参加</w:t>
      </w:r>
      <w:r>
        <w:rPr>
          <w:rFonts w:hint="eastAsia" w:ascii="仿宋_GB2312" w:hAnsi="仿宋_GB2312" w:eastAsia="仿宋_GB2312" w:cs="仿宋_GB2312"/>
          <w:sz w:val="32"/>
          <w:szCs w:val="32"/>
          <w:highlight w:val="none"/>
          <w:lang w:val="en-US" w:eastAsia="zh-CN"/>
        </w:rPr>
        <w:t>省</w:t>
      </w:r>
      <w:r>
        <w:rPr>
          <w:rFonts w:hint="eastAsia" w:ascii="仿宋_GB2312" w:hAnsi="仿宋_GB2312" w:eastAsia="仿宋_GB2312" w:cs="仿宋_GB2312"/>
          <w:sz w:val="32"/>
          <w:szCs w:val="32"/>
          <w:highlight w:val="none"/>
        </w:rPr>
        <w:t>赛</w:t>
      </w:r>
      <w:r>
        <w:rPr>
          <w:rFonts w:hint="eastAsia" w:ascii="仿宋_GB2312" w:hAnsi="仿宋_GB2312" w:eastAsia="仿宋_GB2312" w:cs="仿宋_GB2312"/>
          <w:sz w:val="32"/>
          <w:szCs w:val="32"/>
        </w:rPr>
        <w:t>，参赛队由所在学校安排1名专门老师担任</w:t>
      </w:r>
      <w:r>
        <w:rPr>
          <w:rFonts w:hint="eastAsia" w:ascii="仿宋_GB2312" w:hAnsi="仿宋_GB2312" w:eastAsia="仿宋_GB2312" w:cs="仿宋_GB2312"/>
          <w:sz w:val="32"/>
          <w:szCs w:val="32"/>
          <w:lang w:val="en-US" w:eastAsia="zh-CN"/>
        </w:rPr>
        <w:t>院校负责人</w:t>
      </w:r>
      <w:r>
        <w:rPr>
          <w:rFonts w:hint="eastAsia" w:ascii="仿宋_GB2312" w:hAnsi="仿宋_GB2312" w:eastAsia="仿宋_GB2312" w:cs="仿宋_GB2312"/>
          <w:sz w:val="32"/>
          <w:szCs w:val="32"/>
        </w:rPr>
        <w:t>统一向大赛组委会报名</w:t>
      </w:r>
      <w:r>
        <w:rPr>
          <w:rFonts w:hint="eastAsia" w:ascii="仿宋_GB2312" w:hAnsi="仿宋_GB2312" w:eastAsia="仿宋_GB2312" w:cs="仿宋_GB2312"/>
          <w:sz w:val="32"/>
          <w:szCs w:val="32"/>
          <w:lang w:val="en-US" w:eastAsia="zh-CN"/>
        </w:rPr>
        <w:t>审核</w:t>
      </w:r>
      <w:r>
        <w:rPr>
          <w:rFonts w:hint="eastAsia" w:ascii="仿宋_GB2312" w:hAnsi="仿宋_GB2312" w:eastAsia="仿宋_GB2312" w:cs="仿宋_GB2312"/>
          <w:sz w:val="32"/>
          <w:szCs w:val="32"/>
        </w:rPr>
        <w:t>，不接受个人报名。比赛以团队为单位，组队可跨年级、专业，但不得跨校，参赛团队由4人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注：双碳模拟经营实战赛道为3人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组成，参赛成员仅允许参与一支队伍进行报名参赛；每队不能超过2名教师作为指导教师，原则上同一指导老师最多指导2支参赛队伍，负责赛前辅导和参赛的组织工作。</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报名方式</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textAlignment w:val="auto"/>
        <w:outlineLvl w:val="1"/>
        <w:rPr>
          <w:rFonts w:ascii="仿宋" w:hAnsi="仿宋" w:eastAsia="仿宋" w:cs="仿宋"/>
          <w:b/>
          <w:bCs/>
          <w:sz w:val="32"/>
          <w:szCs w:val="32"/>
          <w:highlight w:val="none"/>
          <w:shd w:val="clear" w:color="auto" w:fill="FFFFFF"/>
        </w:rPr>
      </w:pPr>
      <w:r>
        <w:rPr>
          <w:rFonts w:hint="eastAsia" w:ascii="仿宋_GB2312" w:hAnsi="仿宋_GB2312" w:eastAsia="仿宋_GB2312" w:cs="仿宋_GB2312"/>
          <w:b w:val="0"/>
          <w:bCs w:val="0"/>
          <w:sz w:val="32"/>
          <w:szCs w:val="32"/>
          <w:highlight w:val="none"/>
        </w:rPr>
        <w:t>参赛队员登录</w:t>
      </w:r>
      <w:r>
        <w:rPr>
          <w:rFonts w:hint="eastAsia" w:ascii="仿宋_GB2312" w:hAnsi="仿宋_GB2312" w:eastAsia="仿宋_GB2312" w:cs="仿宋_GB2312"/>
          <w:b w:val="0"/>
          <w:bCs w:val="0"/>
          <w:sz w:val="32"/>
          <w:szCs w:val="32"/>
          <w:highlight w:val="none"/>
          <w:lang w:val="en-US" w:eastAsia="zh-CN"/>
        </w:rPr>
        <w:t>报名网站</w:t>
      </w:r>
      <w:r>
        <w:rPr>
          <w:rFonts w:hint="eastAsia" w:ascii="仿宋_GB2312" w:hAnsi="仿宋_GB2312" w:eastAsia="仿宋_GB2312" w:cs="仿宋_GB2312"/>
          <w:b w:val="0"/>
          <w:bCs w:val="0"/>
          <w:sz w:val="32"/>
          <w:szCs w:val="32"/>
          <w:highlight w:val="none"/>
        </w:rPr>
        <w:t>（ahserpszhyyds.jcjyet.com）注册报名。</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firstLine="643" w:firstLineChars="200"/>
        <w:textAlignment w:val="auto"/>
        <w:outlineLvl w:val="1"/>
        <w:rPr>
          <w:rFonts w:hint="eastAsia" w:ascii="仿宋" w:hAnsi="仿宋" w:eastAsia="仿宋" w:cs="仿宋"/>
          <w:b/>
          <w:bCs/>
          <w:sz w:val="32"/>
          <w:szCs w:val="32"/>
          <w:shd w:val="clear" w:color="auto" w:fill="FFFFFF"/>
        </w:rPr>
      </w:pPr>
      <w:r>
        <w:rPr>
          <w:rFonts w:ascii="仿宋" w:hAnsi="仿宋" w:eastAsia="仿宋" w:cs="仿宋"/>
          <w:b/>
          <w:bCs/>
          <w:sz w:val="32"/>
          <w:szCs w:val="32"/>
          <w:shd w:val="clear" w:color="auto" w:fill="FFFFFF"/>
        </w:rPr>
        <w:t>（二）比赛时间安排</w:t>
      </w:r>
    </w:p>
    <w:tbl>
      <w:tblPr>
        <w:tblStyle w:val="7"/>
        <w:tblW w:w="5000" w:type="pct"/>
        <w:tblInd w:w="0" w:type="dxa"/>
        <w:tblLayout w:type="autofit"/>
        <w:tblCellMar>
          <w:top w:w="15" w:type="dxa"/>
          <w:left w:w="15" w:type="dxa"/>
          <w:bottom w:w="15" w:type="dxa"/>
          <w:right w:w="15" w:type="dxa"/>
        </w:tblCellMar>
      </w:tblPr>
      <w:tblGrid>
        <w:gridCol w:w="2758"/>
        <w:gridCol w:w="2463"/>
        <w:gridCol w:w="3301"/>
      </w:tblGrid>
      <w:tr>
        <w:tblPrEx>
          <w:tblCellMar>
            <w:top w:w="15" w:type="dxa"/>
            <w:left w:w="15" w:type="dxa"/>
            <w:bottom w:w="15" w:type="dxa"/>
            <w:right w:w="15" w:type="dxa"/>
          </w:tblCellMar>
        </w:tblPrEx>
        <w:trPr>
          <w:trHeight w:val="580" w:hRule="atLeast"/>
        </w:trPr>
        <w:tc>
          <w:tcPr>
            <w:tcW w:w="1618"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拟定</w:t>
            </w:r>
            <w:r>
              <w:rPr>
                <w:rFonts w:hint="eastAsia" w:ascii="仿宋_GB2312" w:hAnsi="仿宋_GB2312" w:eastAsia="仿宋_GB2312" w:cs="仿宋_GB2312"/>
                <w:sz w:val="28"/>
                <w:szCs w:val="28"/>
              </w:rPr>
              <w:t>时间</w:t>
            </w:r>
          </w:p>
        </w:tc>
        <w:tc>
          <w:tcPr>
            <w:tcW w:w="1445"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内容</w:t>
            </w:r>
          </w:p>
        </w:tc>
        <w:tc>
          <w:tcPr>
            <w:tcW w:w="1936"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组织形式</w:t>
            </w:r>
          </w:p>
        </w:tc>
      </w:tr>
      <w:tr>
        <w:tblPrEx>
          <w:tblCellMar>
            <w:top w:w="15" w:type="dxa"/>
            <w:left w:w="15" w:type="dxa"/>
            <w:bottom w:w="15" w:type="dxa"/>
            <w:right w:w="15" w:type="dxa"/>
          </w:tblCellMar>
        </w:tblPrEx>
        <w:trPr>
          <w:trHeight w:val="573" w:hRule="atLeast"/>
        </w:trPr>
        <w:tc>
          <w:tcPr>
            <w:tcW w:w="1618"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2026年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p>
        </w:tc>
        <w:tc>
          <w:tcPr>
            <w:tcW w:w="1445"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校内赛</w:t>
            </w:r>
          </w:p>
        </w:tc>
        <w:tc>
          <w:tcPr>
            <w:tcW w:w="1936"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院校自行组织</w:t>
            </w:r>
          </w:p>
        </w:tc>
      </w:tr>
      <w:tr>
        <w:tblPrEx>
          <w:tblCellMar>
            <w:top w:w="15" w:type="dxa"/>
            <w:left w:w="15" w:type="dxa"/>
            <w:bottom w:w="15" w:type="dxa"/>
            <w:right w:w="15" w:type="dxa"/>
          </w:tblCellMar>
        </w:tblPrEx>
        <w:trPr>
          <w:trHeight w:val="573" w:hRule="atLeast"/>
        </w:trPr>
        <w:tc>
          <w:tcPr>
            <w:tcW w:w="1618"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2026年1</w:t>
            </w:r>
            <w:r>
              <w:rPr>
                <w:rFonts w:hint="eastAsia" w:ascii="仿宋_GB2312" w:hAnsi="仿宋_GB2312" w:eastAsia="仿宋_GB2312" w:cs="仿宋_GB2312"/>
                <w:sz w:val="28"/>
                <w:szCs w:val="28"/>
                <w:highlight w:val="none"/>
                <w:lang w:val="en-US" w:eastAsia="zh-CN"/>
              </w:rPr>
              <w:t>0</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中</w:t>
            </w:r>
            <w:r>
              <w:rPr>
                <w:rFonts w:hint="eastAsia" w:ascii="仿宋_GB2312" w:hAnsi="仿宋_GB2312" w:eastAsia="仿宋_GB2312" w:cs="仿宋_GB2312"/>
                <w:sz w:val="28"/>
                <w:szCs w:val="28"/>
                <w:highlight w:val="none"/>
              </w:rPr>
              <w:t>旬</w:t>
            </w:r>
          </w:p>
        </w:tc>
        <w:tc>
          <w:tcPr>
            <w:tcW w:w="1445"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省级总决赛</w:t>
            </w:r>
          </w:p>
        </w:tc>
        <w:tc>
          <w:tcPr>
            <w:tcW w:w="1936"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各赛道晋级队伍参与</w:t>
            </w:r>
          </w:p>
        </w:tc>
      </w:tr>
      <w:tr>
        <w:tblPrEx>
          <w:tblCellMar>
            <w:top w:w="15" w:type="dxa"/>
            <w:left w:w="15" w:type="dxa"/>
            <w:bottom w:w="15" w:type="dxa"/>
            <w:right w:w="15" w:type="dxa"/>
          </w:tblCellMar>
        </w:tblPrEx>
        <w:trPr>
          <w:trHeight w:val="573" w:hRule="atLeast"/>
        </w:trPr>
        <w:tc>
          <w:tcPr>
            <w:tcW w:w="5000" w:type="pct"/>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adjustRightInd w:val="0"/>
              <w:snapToGrid w:val="0"/>
              <w:spacing w:line="560" w:lineRule="exact"/>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注：后续赛事各赛道具体比赛时间、形式等相关事宜，将由组委会另行公示，请各参赛单位及人员留意官方发布，最终以赛事组委会正式通知为准。</w:t>
            </w:r>
          </w:p>
        </w:tc>
      </w:tr>
    </w:tbl>
    <w:p>
      <w:pPr>
        <w:pStyle w:val="5"/>
        <w:widowControl/>
        <w:shd w:val="clear" w:color="auto" w:fill="FFFFFF"/>
        <w:adjustRightInd w:val="0"/>
        <w:snapToGrid w:val="0"/>
        <w:spacing w:beforeAutospacing="0" w:afterAutospacing="0" w:line="560" w:lineRule="exact"/>
        <w:ind w:firstLine="643" w:firstLineChars="200"/>
        <w:outlineLvl w:val="1"/>
        <w:rPr>
          <w:rFonts w:hint="eastAsia" w:ascii="仿宋" w:hAnsi="仿宋" w:eastAsia="仿宋" w:cs="仿宋"/>
          <w:b/>
          <w:bCs/>
          <w:sz w:val="32"/>
          <w:szCs w:val="32"/>
          <w:shd w:val="clear" w:color="auto" w:fill="FFFFFF"/>
        </w:rPr>
      </w:pPr>
      <w:r>
        <w:rPr>
          <w:rFonts w:ascii="仿宋" w:hAnsi="仿宋" w:eastAsia="仿宋" w:cs="仿宋"/>
          <w:b/>
          <w:bCs/>
          <w:sz w:val="32"/>
          <w:szCs w:val="32"/>
          <w:shd w:val="clear" w:color="auto" w:fill="FFFFFF"/>
        </w:rPr>
        <w:t>（三）成绩公布</w:t>
      </w:r>
    </w:p>
    <w:p>
      <w:pPr>
        <w:shd w:val="clear" w:color="auto" w:fill="FFFFFF"/>
        <w:adjustRightInd w:val="0"/>
        <w:snapToGrid w:val="0"/>
        <w:spacing w:line="560" w:lineRule="exact"/>
        <w:ind w:firstLine="640" w:firstLineChars="200"/>
        <w:rPr>
          <w:rFonts w:hint="eastAsia" w:ascii="仿宋" w:hAnsi="仿宋" w:eastAsia="仿宋" w:cs="仿宋"/>
          <w:b/>
          <w:bCs/>
          <w:sz w:val="32"/>
          <w:szCs w:val="32"/>
          <w:shd w:val="clear" w:color="auto" w:fill="FFFFFF"/>
        </w:rPr>
      </w:pPr>
      <w:r>
        <w:rPr>
          <w:rFonts w:hint="eastAsia" w:ascii="仿宋_GB2312" w:hAnsi="仿宋_GB2312" w:eastAsia="仿宋_GB2312" w:cs="仿宋_GB2312"/>
          <w:sz w:val="32"/>
          <w:szCs w:val="32"/>
        </w:rPr>
        <w:t>为保障成绩评判的准确性，将对各赛项成绩排名前30%的所有参赛队伍（选手）的成绩进行复核，对其余成绩进行抽签复核，抽检覆盖率不得低于30%，若发现成绩错误以书面形式及时告知裁判长，由裁判长更正成绩签字确定。复核、抽检错误率高于5%的，裁判组将对所有成绩进行复核。记分员将复核的最终成绩经裁判长、监督仲裁组签字后，在大赛官方平台、承办单位官网进行为期一周的公示，若各参赛队伍对竞赛成绩无异议，大赛组委会将此次竞赛成绩报送至安徽省教育厅。</w:t>
      </w:r>
    </w:p>
    <w:p>
      <w:pPr>
        <w:ind w:firstLine="643" w:firstLineChars="200"/>
        <w:rPr>
          <w:rFonts w:hint="eastAsia" w:ascii="仿宋" w:hAnsi="仿宋" w:eastAsia="仿宋" w:cs="仿宋"/>
          <w:b/>
          <w:bCs/>
          <w:kern w:val="0"/>
          <w:sz w:val="32"/>
          <w:szCs w:val="32"/>
          <w:highlight w:val="none"/>
          <w:shd w:val="clear" w:color="auto" w:fill="FFFFFF"/>
        </w:rPr>
      </w:pPr>
      <w:r>
        <w:rPr>
          <w:rFonts w:hint="eastAsia" w:ascii="仿宋" w:hAnsi="仿宋" w:eastAsia="仿宋" w:cs="仿宋"/>
          <w:b/>
          <w:bCs/>
          <w:kern w:val="0"/>
          <w:sz w:val="32"/>
          <w:szCs w:val="32"/>
          <w:highlight w:val="none"/>
          <w:shd w:val="clear" w:color="auto" w:fill="FFFFFF"/>
        </w:rPr>
        <w:t>（四）</w:t>
      </w:r>
      <w:r>
        <w:rPr>
          <w:rFonts w:ascii="仿宋" w:hAnsi="仿宋" w:eastAsia="仿宋" w:cs="仿宋"/>
          <w:b/>
          <w:bCs/>
          <w:kern w:val="0"/>
          <w:sz w:val="32"/>
          <w:szCs w:val="32"/>
          <w:highlight w:val="none"/>
          <w:shd w:val="clear" w:color="auto" w:fill="FFFFFF"/>
        </w:rPr>
        <w:t>赛前准备</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cs="仿宋_GB2312"/>
          <w:sz w:val="32"/>
          <w:szCs w:val="32"/>
        </w:rPr>
        <w:t>1）</w:t>
      </w:r>
      <w:r>
        <w:rPr>
          <w:rFonts w:ascii="仿宋_GB2312" w:hAnsi="仿宋_GB2312" w:eastAsia="仿宋_GB2312" w:cs="仿宋_GB2312"/>
          <w:sz w:val="32"/>
          <w:szCs w:val="32"/>
        </w:rPr>
        <w:t>团队组建：各</w:t>
      </w:r>
      <w:r>
        <w:rPr>
          <w:rFonts w:hint="eastAsia" w:ascii="仿宋_GB2312" w:hAnsi="仿宋_GB2312" w:eastAsia="仿宋_GB2312" w:cs="仿宋_GB2312"/>
          <w:sz w:val="32"/>
          <w:szCs w:val="32"/>
          <w:lang w:val="en-US" w:eastAsia="zh-CN"/>
        </w:rPr>
        <w:t>赛道</w:t>
      </w:r>
      <w:r>
        <w:rPr>
          <w:rFonts w:ascii="仿宋_GB2312" w:hAnsi="仿宋_GB2312" w:eastAsia="仿宋_GB2312" w:cs="仿宋_GB2312"/>
          <w:sz w:val="32"/>
          <w:szCs w:val="32"/>
        </w:rPr>
        <w:t>参赛队完成组队，明确岗位分工，确定指导教师，并在报名截止前提交参赛信息，一经确认不得随意变更。</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cs="仿宋_GB2312"/>
          <w:sz w:val="32"/>
          <w:szCs w:val="32"/>
        </w:rPr>
        <w:t>2）</w:t>
      </w:r>
      <w:r>
        <w:rPr>
          <w:rFonts w:ascii="仿宋_GB2312" w:hAnsi="仿宋_GB2312" w:eastAsia="仿宋_GB2312" w:cs="仿宋_GB2312"/>
          <w:sz w:val="32"/>
          <w:szCs w:val="32"/>
        </w:rPr>
        <w:t>规则学习：各参赛队须认真研读竞赛规程、评分标准及操作细则，熟悉比赛流程、时间安排及成绩评定规则。</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cs="仿宋_GB2312"/>
          <w:sz w:val="32"/>
          <w:szCs w:val="32"/>
        </w:rPr>
        <w:t>3）</w:t>
      </w:r>
      <w:r>
        <w:rPr>
          <w:rFonts w:ascii="仿宋_GB2312" w:hAnsi="仿宋_GB2312" w:eastAsia="仿宋_GB2312" w:cs="仿宋_GB2312"/>
          <w:sz w:val="32"/>
          <w:szCs w:val="32"/>
        </w:rPr>
        <w:t>平台熟悉：参赛队应提前登录竞赛平台，熟悉系统界面、操作流程及数据填报要求，确保掌握基本操作功能。</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cs="仿宋_GB2312"/>
          <w:sz w:val="32"/>
          <w:szCs w:val="32"/>
        </w:rPr>
        <w:t>4）</w:t>
      </w:r>
      <w:r>
        <w:rPr>
          <w:rFonts w:ascii="仿宋_GB2312" w:hAnsi="仿宋_GB2312" w:eastAsia="仿宋_GB2312" w:cs="仿宋_GB2312"/>
          <w:sz w:val="32"/>
          <w:szCs w:val="32"/>
        </w:rPr>
        <w:t>设备调试：参赛院校需提前检查比赛所用电脑、网络及相关软件环境，确保设备稳定、网络畅通，并按要求做好录屏准备。</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cs="仿宋_GB2312"/>
          <w:sz w:val="32"/>
          <w:szCs w:val="32"/>
        </w:rPr>
        <w:t>5）</w:t>
      </w:r>
      <w:r>
        <w:rPr>
          <w:rFonts w:ascii="仿宋_GB2312" w:hAnsi="仿宋_GB2312" w:eastAsia="仿宋_GB2312" w:cs="仿宋_GB2312"/>
          <w:sz w:val="32"/>
          <w:szCs w:val="32"/>
        </w:rPr>
        <w:t>模拟演练：各参赛队应在校内赛及省赛前，利用模拟数据或练习平台完成不少于2次全流程模拟经营，演练经营策略、报表填报及时间控制。</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（6）</w:t>
      </w:r>
      <w:r>
        <w:rPr>
          <w:rFonts w:ascii="仿宋_GB2312" w:hAnsi="仿宋_GB2312" w:eastAsia="仿宋_GB2312" w:cs="仿宋_GB2312"/>
          <w:sz w:val="32"/>
          <w:szCs w:val="32"/>
        </w:rPr>
        <w:t>保险与安全：参赛院校须为参赛选手购买人身意外伤害保险，并开展赛前安全教育，确保比赛期间人身与财产安全。</w:t>
      </w:r>
    </w:p>
    <w:p>
      <w:pPr>
        <w:numPr>
          <w:ilvl w:val="0"/>
          <w:numId w:val="1"/>
        </w:numPr>
        <w:shd w:val="clear" w:color="auto" w:fill="FFFFFF"/>
        <w:adjustRightInd w:val="0"/>
        <w:snapToGrid w:val="0"/>
        <w:spacing w:line="560" w:lineRule="exact"/>
        <w:ind w:firstLine="960" w:firstLineChars="300"/>
        <w:outlineLvl w:val="0"/>
        <w:rPr>
          <w:rFonts w:hint="eastAsia" w:ascii="黑体" w:hAnsi="黑体" w:eastAsia="黑体" w:cs="黑体"/>
          <w:kern w:val="0"/>
          <w:sz w:val="32"/>
          <w:szCs w:val="32"/>
          <w:highlight w:val="none"/>
          <w:shd w:val="clear" w:color="auto" w:fill="FFFFFF"/>
          <w:lang w:bidi="ar"/>
        </w:rPr>
      </w:pPr>
      <w:r>
        <w:rPr>
          <w:rFonts w:ascii="黑体" w:hAnsi="黑体" w:eastAsia="黑体" w:cs="黑体"/>
          <w:kern w:val="0"/>
          <w:sz w:val="32"/>
          <w:szCs w:val="32"/>
          <w:highlight w:val="none"/>
          <w:shd w:val="clear" w:color="auto" w:fill="FFFFFF"/>
          <w:lang w:bidi="ar"/>
        </w:rPr>
        <w:t>成绩评定</w:t>
      </w:r>
    </w:p>
    <w:p>
      <w:pPr>
        <w:numPr>
          <w:ilvl w:val="255"/>
          <w:numId w:val="0"/>
        </w:numPr>
        <w:shd w:val="clear" w:color="auto" w:fill="FFFFFF"/>
        <w:adjustRightInd w:val="0"/>
        <w:snapToGrid w:val="0"/>
        <w:spacing w:line="560" w:lineRule="exact"/>
        <w:ind w:firstLine="643" w:firstLineChars="200"/>
        <w:outlineLvl w:val="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1.ERP企业经营模拟赛道</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（1）评分标准制定原则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赛项根据企业经营管理相关技术技能、高等教育教学特点和教育部颁布的相关教学指导方案，设置每个环节考核的知识点、技能点以及评价标准，以技能考核为主，组织专家制定比赛规程、实施方案与各项评分细则，邀请教学专家与企业专家组成评判委员会，对选手技能进行公开、公平、公正的评判。</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rPr>
        <w:t>A</w:t>
      </w:r>
      <w:r>
        <w:rPr>
          <w:rFonts w:hint="eastAsia" w:ascii="仿宋_GB2312" w:hAnsi="仿宋_GB2312" w:eastAsia="仿宋_GB2312" w:cs="仿宋_GB2312"/>
          <w:sz w:val="32"/>
          <w:szCs w:val="32"/>
        </w:rPr>
        <w:t>.本赛项评分标准制定遵循“公平、公正、公开”的原则。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rPr>
        <w:t>B</w:t>
      </w:r>
      <w:r>
        <w:rPr>
          <w:rFonts w:hint="eastAsia" w:ascii="仿宋_GB2312" w:hAnsi="仿宋_GB2312" w:eastAsia="仿宋_GB2312" w:cs="仿宋_GB2312"/>
          <w:sz w:val="32"/>
          <w:szCs w:val="32"/>
        </w:rPr>
        <w:t>.应用信息化系统自动评分，无人为因素干扰。</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rPr>
        <w:t>C</w:t>
      </w:r>
      <w:r>
        <w:rPr>
          <w:rFonts w:hint="eastAsia" w:ascii="仿宋_GB2312" w:hAnsi="仿宋_GB2312" w:eastAsia="仿宋_GB2312" w:cs="仿宋_GB2312"/>
          <w:sz w:val="32"/>
          <w:szCs w:val="32"/>
        </w:rPr>
        <w:t>.比赛成绩实时公布。</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（2）评分方法</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竞赛评分方法采用由比赛软件系统自动生成的分数，按该得分高低进行排序，分数高者为优胜。系统生成分数以模拟数字化企业盈利情况和企业的可持续发展能力作为评分标准。</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textAlignment w:val="auto"/>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评分规则</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企业模拟经营过程需要持续经营4年，从经营风尚、管理工具应用、数字化平台建设、持续经营和经营成果五个方面进行综合评判，以全面考察学生企业经营管理核心技能和规则意识、创新意识、数字思维、系统思维等职业素养。具体评分细则如表所示。</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cs="Microsoft YaHei UI"/>
          <w:color w:val="000000"/>
        </w:rPr>
      </w:pPr>
      <w:bookmarkStart w:id="1" w:name="page8"/>
      <w:bookmarkEnd w:id="1"/>
      <w:r>
        <w:rPr>
          <w:rFonts w:hint="eastAsia" w:ascii="仿宋_GB2312" w:eastAsia="仿宋_GB2312" w:cs="仿宋_GB2312"/>
          <w:color w:val="000000"/>
          <w:sz w:val="32"/>
          <w:szCs w:val="32"/>
          <w:shd w:val="clear" w:color="auto" w:fill="FFFFFF"/>
          <w:lang w:bidi="ar"/>
        </w:rPr>
        <w:t>根据各参赛队企业模拟运营情况，以</w:t>
      </w:r>
      <w:r>
        <w:rPr>
          <w:rFonts w:hint="eastAsia" w:ascii="仿宋_GB2312" w:eastAsia="仿宋_GB2312" w:cs="仿宋_GB2312"/>
          <w:b/>
          <w:bCs/>
          <w:color w:val="000000"/>
          <w:sz w:val="32"/>
          <w:szCs w:val="32"/>
          <w:shd w:val="clear" w:color="auto" w:fill="FFFFFF"/>
          <w:lang w:bidi="ar"/>
        </w:rPr>
        <w:t>第四年提交报表后</w:t>
      </w:r>
      <w:r>
        <w:rPr>
          <w:rFonts w:hint="eastAsia" w:ascii="仿宋_GB2312" w:eastAsia="仿宋_GB2312" w:cs="仿宋_GB2312"/>
          <w:color w:val="000000"/>
          <w:sz w:val="32"/>
          <w:szCs w:val="32"/>
          <w:shd w:val="clear" w:color="auto" w:fill="FFFFFF"/>
          <w:lang w:bidi="ar"/>
        </w:rPr>
        <w:t>的企业盈利及可持续发展能力作为评判标准。</w:t>
      </w:r>
    </w:p>
    <w:tbl>
      <w:tblPr>
        <w:tblStyle w:val="7"/>
        <w:tblW w:w="9358" w:type="dxa"/>
        <w:jc w:val="center"/>
        <w:tblLayout w:type="autofit"/>
        <w:tblCellMar>
          <w:top w:w="0" w:type="dxa"/>
          <w:left w:w="0" w:type="dxa"/>
          <w:bottom w:w="0" w:type="dxa"/>
          <w:right w:w="0" w:type="dxa"/>
        </w:tblCellMar>
      </w:tblPr>
      <w:tblGrid>
        <w:gridCol w:w="1554"/>
        <w:gridCol w:w="1300"/>
        <w:gridCol w:w="3380"/>
        <w:gridCol w:w="1527"/>
        <w:gridCol w:w="1597"/>
      </w:tblGrid>
      <w:tr>
        <w:tblPrEx>
          <w:tblCellMar>
            <w:top w:w="0" w:type="dxa"/>
            <w:left w:w="0" w:type="dxa"/>
            <w:bottom w:w="0" w:type="dxa"/>
            <w:right w:w="0" w:type="dxa"/>
          </w:tblCellMar>
        </w:tblPrEx>
        <w:trPr>
          <w:trHeight w:val="571" w:hRule="atLeast"/>
          <w:jc w:val="center"/>
        </w:trPr>
        <w:tc>
          <w:tcPr>
            <w:tcW w:w="15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分值项</w:t>
            </w:r>
          </w:p>
        </w:tc>
        <w:tc>
          <w:tcPr>
            <w:tcW w:w="13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分值</w:t>
            </w:r>
          </w:p>
        </w:tc>
        <w:tc>
          <w:tcPr>
            <w:tcW w:w="338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评分方法</w:t>
            </w:r>
          </w:p>
        </w:tc>
        <w:tc>
          <w:tcPr>
            <w:tcW w:w="152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审核方法</w:t>
            </w:r>
          </w:p>
        </w:tc>
        <w:tc>
          <w:tcPr>
            <w:tcW w:w="15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公布方法</w:t>
            </w:r>
          </w:p>
        </w:tc>
      </w:tr>
      <w:tr>
        <w:tblPrEx>
          <w:tblCellMar>
            <w:top w:w="0" w:type="dxa"/>
            <w:left w:w="0" w:type="dxa"/>
            <w:bottom w:w="0" w:type="dxa"/>
            <w:right w:w="0" w:type="dxa"/>
          </w:tblCellMar>
        </w:tblPrEx>
        <w:trPr>
          <w:trHeight w:val="2245" w:hRule="atLeast"/>
          <w:jc w:val="center"/>
        </w:trPr>
        <w:tc>
          <w:tcPr>
            <w:tcW w:w="15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经营结果得分</w:t>
            </w:r>
          </w:p>
        </w:tc>
        <w:tc>
          <w:tcPr>
            <w:tcW w:w="1300"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100分</w:t>
            </w:r>
          </w:p>
        </w:tc>
        <w:tc>
          <w:tcPr>
            <w:tcW w:w="3380"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以第四年的系统【分数】排名顺序确定评分（依次递减3分）</w:t>
            </w:r>
          </w:p>
        </w:tc>
        <w:tc>
          <w:tcPr>
            <w:tcW w:w="152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裁判审核</w:t>
            </w:r>
          </w:p>
        </w:tc>
        <w:tc>
          <w:tcPr>
            <w:tcW w:w="159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val="0"/>
              <w:snapToGrid w:val="0"/>
              <w:spacing w:line="560" w:lineRule="exact"/>
              <w:jc w:val="center"/>
              <w:rPr>
                <w:rFonts w:hint="eastAsia" w:ascii="宋体" w:hAnsi="宋体" w:eastAsia="宋体" w:cs="宋体"/>
                <w:sz w:val="28"/>
                <w:szCs w:val="28"/>
              </w:rPr>
            </w:pPr>
            <w:r>
              <w:rPr>
                <w:rFonts w:hint="eastAsia" w:ascii="宋体" w:hAnsi="宋体" w:eastAsia="宋体" w:cs="宋体"/>
                <w:sz w:val="28"/>
                <w:szCs w:val="28"/>
              </w:rPr>
              <w:t>选手确认</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特别说明：</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rPr>
        <w:t>A</w:t>
      </w:r>
      <w:r>
        <w:rPr>
          <w:rFonts w:hint="eastAsia" w:ascii="仿宋_GB2312" w:hAnsi="仿宋_GB2312" w:eastAsia="仿宋_GB2312" w:cs="仿宋_GB2312"/>
          <w:sz w:val="32"/>
          <w:szCs w:val="32"/>
        </w:rPr>
        <w:t>.系统【分数】最终得分公式：</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最终得分：Z=第四年企业商誉值×（第四年企业权益-系统扣分+数字化得分）*（1+第三年碳中和率+第四年碳中和率）</w:t>
      </w:r>
    </w:p>
    <w:p>
      <w:pPr>
        <w:numPr>
          <w:ilvl w:val="255"/>
          <w:numId w:val="0"/>
        </w:numPr>
        <w:ind w:firstLine="640" w:firstLineChars="200"/>
        <w:rPr>
          <w:rFonts w:hint="eastAsia" w:ascii="仿宋_GB2312" w:eastAsia="仿宋_GB2312" w:cs="仿宋_GB2312"/>
          <w:color w:val="000000"/>
          <w:spacing w:val="20"/>
          <w:sz w:val="32"/>
          <w:szCs w:val="32"/>
          <w:shd w:val="clear" w:color="auto" w:fill="FFFFFF"/>
          <w:lang w:bidi="ar"/>
        </w:rPr>
      </w:pPr>
      <w:r>
        <w:rPr>
          <w:rFonts w:hint="eastAsia" w:ascii="仿宋_GB2312" w:hAnsi="仿宋_GB2312" w:cs="仿宋_GB2312"/>
          <w:sz w:val="32"/>
          <w:szCs w:val="32"/>
        </w:rPr>
        <w:t>B</w:t>
      </w:r>
      <w:r>
        <w:rPr>
          <w:rFonts w:hint="eastAsia" w:ascii="仿宋_GB2312" w:hAnsi="仿宋_GB2312" w:eastAsia="仿宋_GB2312" w:cs="仿宋_GB2312"/>
          <w:sz w:val="32"/>
          <w:szCs w:val="32"/>
        </w:rPr>
        <w:t>.碳中和率保留4位小数，四舍五入。</w:t>
      </w:r>
    </w:p>
    <w:p>
      <w:pPr>
        <w:pStyle w:val="5"/>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560" w:lineRule="exact"/>
        <w:ind w:firstLine="720" w:firstLineChars="200"/>
        <w:jc w:val="center"/>
        <w:textAlignment w:val="auto"/>
        <w:rPr>
          <w:rFonts w:cs="Microsoft YaHei UI"/>
          <w:color w:val="000000"/>
        </w:rPr>
      </w:pPr>
      <w:r>
        <w:rPr>
          <w:rFonts w:hint="eastAsia" w:ascii="仿宋_GB2312" w:eastAsia="仿宋_GB2312" w:cs="仿宋_GB2312"/>
          <w:color w:val="000000"/>
          <w:spacing w:val="20"/>
          <w:sz w:val="32"/>
          <w:szCs w:val="32"/>
          <w:shd w:val="clear" w:color="auto" w:fill="FFFFFF"/>
          <w:lang w:bidi="ar"/>
        </w:rPr>
        <w:t>第</w:t>
      </w:r>
      <w:r>
        <w:rPr>
          <w:rFonts w:hint="eastAsia" w:ascii="仿宋_GB2312" w:eastAsia="仿宋_GB2312" w:cs="仿宋_GB2312"/>
          <w:color w:val="000000"/>
          <w:spacing w:val="20"/>
          <w:sz w:val="32"/>
          <w:szCs w:val="32"/>
          <w:shd w:val="clear" w:color="auto" w:fill="FFFFFF"/>
          <w:lang w:val="en-US" w:eastAsia="zh-CN" w:bidi="ar"/>
        </w:rPr>
        <w:t>四</w:t>
      </w:r>
      <w:r>
        <w:rPr>
          <w:rFonts w:hint="eastAsia" w:ascii="仿宋_GB2312" w:eastAsia="仿宋_GB2312" w:cs="仿宋_GB2312"/>
          <w:color w:val="000000"/>
          <w:spacing w:val="20"/>
          <w:sz w:val="32"/>
          <w:szCs w:val="32"/>
          <w:shd w:val="clear" w:color="auto" w:fill="FFFFFF"/>
          <w:lang w:bidi="ar"/>
        </w:rPr>
        <w:t>年</w:t>
      </w:r>
      <w:r>
        <w:rPr>
          <w:rFonts w:hint="eastAsia" w:ascii="仿宋_GB2312" w:eastAsia="仿宋_GB2312" w:cs="仿宋_GB2312"/>
          <w:color w:val="000000"/>
          <w:spacing w:val="20"/>
          <w:sz w:val="32"/>
          <w:szCs w:val="32"/>
          <w:shd w:val="clear" w:color="auto" w:fill="FFFFFF"/>
          <w:lang w:val="en-US" w:eastAsia="zh-CN" w:bidi="ar"/>
        </w:rPr>
        <w:t>提交报表后</w:t>
      </w:r>
      <w:r>
        <w:rPr>
          <w:rFonts w:hint="eastAsia" w:ascii="仿宋_GB2312" w:eastAsia="仿宋_GB2312" w:cs="仿宋_GB2312"/>
          <w:color w:val="000000"/>
          <w:spacing w:val="20"/>
          <w:sz w:val="32"/>
          <w:szCs w:val="32"/>
          <w:shd w:val="clear" w:color="auto" w:fill="FFFFFF"/>
          <w:lang w:bidi="ar"/>
        </w:rPr>
        <w:t>分数排名评分标准</w:t>
      </w:r>
    </w:p>
    <w:tbl>
      <w:tblPr>
        <w:tblStyle w:val="7"/>
        <w:tblW w:w="8519" w:type="dxa"/>
        <w:jc w:val="center"/>
        <w:tblBorders>
          <w:top w:val="none" w:color="auto" w:sz="0" w:space="0"/>
          <w:left w:val="none" w:color="auto" w:sz="0" w:space="0"/>
          <w:bottom w:val="none" w:color="auto" w:sz="0" w:space="0"/>
          <w:right w:val="none" w:color="auto" w:sz="0" w:space="0"/>
          <w:insideH w:val="none" w:color="auto" w:sz="6" w:space="0"/>
          <w:insideV w:val="none" w:color="auto" w:sz="6" w:space="0"/>
        </w:tblBorders>
        <w:shd w:val="clear" w:color="auto" w:fill="FFFFFF"/>
        <w:tblLayout w:type="autofit"/>
        <w:tblCellMar>
          <w:top w:w="0" w:type="dxa"/>
          <w:left w:w="0" w:type="dxa"/>
          <w:bottom w:w="0" w:type="dxa"/>
          <w:right w:w="0" w:type="dxa"/>
        </w:tblCellMar>
      </w:tblPr>
      <w:tblGrid>
        <w:gridCol w:w="2694"/>
        <w:gridCol w:w="1565"/>
        <w:gridCol w:w="2695"/>
        <w:gridCol w:w="1565"/>
      </w:tblGrid>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EEECE1"/>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b/>
                <w:sz w:val="28"/>
                <w:szCs w:val="28"/>
              </w:rPr>
            </w:pPr>
            <w:r>
              <w:rPr>
                <w:rFonts w:hint="eastAsia" w:ascii="仿宋_GB2312" w:eastAsia="仿宋_GB2312" w:cs="仿宋_GB2312"/>
                <w:b/>
                <w:color w:val="333333"/>
                <w:sz w:val="28"/>
                <w:szCs w:val="28"/>
                <w:lang w:bidi="ar"/>
              </w:rPr>
              <w:t>分数排名</w:t>
            </w:r>
          </w:p>
        </w:tc>
        <w:tc>
          <w:tcPr>
            <w:tcW w:w="0" w:type="auto"/>
            <w:tcBorders>
              <w:top w:val="single" w:color="auto" w:sz="4" w:space="0"/>
              <w:left w:val="single" w:color="auto" w:sz="4" w:space="0"/>
              <w:bottom w:val="single" w:color="auto" w:sz="4" w:space="0"/>
              <w:right w:val="single" w:color="auto" w:sz="4" w:space="0"/>
            </w:tcBorders>
            <w:shd w:val="clear" w:color="auto" w:fill="EEECE1"/>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b/>
                <w:sz w:val="28"/>
                <w:szCs w:val="28"/>
              </w:rPr>
            </w:pPr>
            <w:r>
              <w:rPr>
                <w:rFonts w:hint="eastAsia" w:ascii="仿宋_GB2312" w:eastAsia="仿宋_GB2312" w:cs="仿宋_GB2312"/>
                <w:b/>
                <w:color w:val="333333"/>
                <w:sz w:val="28"/>
                <w:szCs w:val="28"/>
                <w:lang w:bidi="ar"/>
              </w:rPr>
              <w:t>得分</w:t>
            </w:r>
          </w:p>
        </w:tc>
        <w:tc>
          <w:tcPr>
            <w:tcW w:w="0" w:type="auto"/>
            <w:tcBorders>
              <w:top w:val="single" w:color="auto" w:sz="4" w:space="0"/>
              <w:left w:val="single" w:color="auto" w:sz="4" w:space="0"/>
              <w:bottom w:val="single" w:color="auto" w:sz="4" w:space="0"/>
              <w:right w:val="single" w:color="auto" w:sz="4" w:space="0"/>
            </w:tcBorders>
            <w:shd w:val="clear" w:color="auto" w:fill="EEECE1"/>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仿宋_GB2312"/>
                <w:b/>
                <w:color w:val="333333"/>
                <w:sz w:val="28"/>
                <w:szCs w:val="28"/>
                <w:lang w:bidi="ar"/>
              </w:rPr>
            </w:pPr>
            <w:r>
              <w:rPr>
                <w:rFonts w:hint="eastAsia" w:ascii="仿宋_GB2312" w:eastAsia="仿宋_GB2312" w:cs="仿宋_GB2312"/>
                <w:b/>
                <w:color w:val="333333"/>
                <w:sz w:val="28"/>
                <w:szCs w:val="28"/>
                <w:lang w:bidi="ar"/>
              </w:rPr>
              <w:t>分数排名</w:t>
            </w:r>
          </w:p>
        </w:tc>
        <w:tc>
          <w:tcPr>
            <w:tcW w:w="1565" w:type="dxa"/>
            <w:tcBorders>
              <w:top w:val="single" w:color="auto" w:sz="4" w:space="0"/>
              <w:left w:val="single" w:color="auto" w:sz="4" w:space="0"/>
              <w:bottom w:val="single" w:color="auto" w:sz="4" w:space="0"/>
              <w:right w:val="single" w:color="auto" w:sz="4" w:space="0"/>
            </w:tcBorders>
            <w:shd w:val="clear" w:color="auto" w:fill="EEECE1"/>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仿宋_GB2312"/>
                <w:b/>
                <w:color w:val="333333"/>
                <w:sz w:val="28"/>
                <w:szCs w:val="28"/>
                <w:lang w:bidi="ar"/>
              </w:rPr>
            </w:pPr>
            <w:r>
              <w:rPr>
                <w:rFonts w:hint="eastAsia" w:ascii="仿宋_GB2312" w:eastAsia="仿宋_GB2312" w:cs="仿宋_GB2312"/>
                <w:b/>
                <w:color w:val="333333"/>
                <w:sz w:val="28"/>
                <w:szCs w:val="28"/>
                <w:lang w:bidi="ar"/>
              </w:rPr>
              <w:t>得分</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11</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70</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97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12</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67</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94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13</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64</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91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14</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61</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88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15</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58</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85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16</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55</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82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17</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52</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79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18</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49</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76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19</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46</w:t>
            </w:r>
          </w:p>
        </w:tc>
      </w:tr>
      <w:tr>
        <w:tblPrEx>
          <w:tblBorders>
            <w:top w:val="none" w:color="auto" w:sz="0" w:space="0"/>
            <w:left w:val="none" w:color="auto" w:sz="0" w:space="0"/>
            <w:bottom w:val="none" w:color="auto" w:sz="0" w:space="0"/>
            <w:right w:val="none" w:color="auto" w:sz="0" w:space="0"/>
            <w:insideH w:val="none" w:color="auto" w:sz="6" w:space="0"/>
            <w:insideV w:val="none" w:color="auto" w:sz="6" w:space="0"/>
          </w:tblBorders>
          <w:tblCellMar>
            <w:top w:w="0" w:type="dxa"/>
            <w:left w:w="0" w:type="dxa"/>
            <w:bottom w:w="0" w:type="dxa"/>
            <w:right w:w="0" w:type="dxa"/>
          </w:tblCellMar>
        </w:tblPrEx>
        <w:trPr>
          <w:trHeight w:val="0" w:hRule="atLeast"/>
          <w:jc w:val="center"/>
        </w:trPr>
        <w:tc>
          <w:tcPr>
            <w:tcW w:w="2694"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10</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73</w:t>
            </w:r>
          </w:p>
        </w:tc>
        <w:tc>
          <w:tcPr>
            <w:tcW w:w="269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20</w:t>
            </w:r>
          </w:p>
        </w:tc>
        <w:tc>
          <w:tcPr>
            <w:tcW w:w="1565" w:type="dxa"/>
            <w:tcBorders>
              <w:top w:val="single" w:color="auto" w:sz="4" w:space="0"/>
              <w:left w:val="single" w:color="auto" w:sz="4" w:space="0"/>
              <w:bottom w:val="single" w:color="auto" w:sz="4" w:space="0"/>
              <w:right w:val="single" w:color="auto" w:sz="4" w:space="0"/>
            </w:tcBorders>
            <w:shd w:val="clear" w:color="auto" w:fill="FFFFFF"/>
            <w:noWrap w:val="0"/>
            <w:tcMar>
              <w:top w:w="-1" w:type="dxa"/>
              <w:left w:w="108" w:type="dxa"/>
              <w:bottom w:w="-1" w:type="dxa"/>
              <w:right w:w="108" w:type="dxa"/>
            </w:tcMar>
            <w:vAlign w:val="center"/>
          </w:tcPr>
          <w:p>
            <w:pPr>
              <w:adjustRightInd w:val="0"/>
              <w:snapToGrid w:val="0"/>
              <w:spacing w:line="240" w:lineRule="auto"/>
              <w:ind w:left="0" w:leftChars="0" w:right="0" w:rightChars="0" w:firstLine="0" w:firstLineChars="0"/>
              <w:jc w:val="center"/>
              <w:rPr>
                <w:rFonts w:ascii="仿宋_GB2312" w:eastAsia="仿宋_GB2312" w:cs="Microsoft YaHei UI"/>
                <w:sz w:val="28"/>
                <w:szCs w:val="28"/>
              </w:rPr>
            </w:pPr>
            <w:r>
              <w:rPr>
                <w:rFonts w:hint="eastAsia" w:ascii="仿宋_GB2312" w:eastAsia="仿宋_GB2312" w:cs="仿宋_GB2312"/>
                <w:color w:val="333333"/>
                <w:sz w:val="28"/>
                <w:szCs w:val="28"/>
                <w:lang w:bidi="ar"/>
              </w:rPr>
              <w:t>43</w:t>
            </w:r>
          </w:p>
        </w:tc>
      </w:tr>
    </w:tbl>
    <w:p>
      <w:pPr>
        <w:widowControl/>
        <w:adjustRightInd w:val="0"/>
        <w:snapToGrid w:val="0"/>
        <w:spacing w:line="560" w:lineRule="exact"/>
        <w:ind w:firstLine="964" w:firstLineChars="300"/>
        <w:jc w:val="left"/>
        <w:rPr>
          <w:rFonts w:ascii="仿宋_GB2312" w:hAnsi="Microsoft YaHei UI" w:eastAsia="仿宋_GB2312" w:cs="仿宋_GB2312"/>
          <w:color w:val="000000"/>
          <w:kern w:val="0"/>
          <w:sz w:val="32"/>
          <w:szCs w:val="32"/>
          <w:shd w:val="clear" w:color="auto" w:fill="FFFFFF"/>
          <w:lang w:bidi="ar"/>
        </w:rPr>
      </w:pPr>
      <w:r>
        <w:rPr>
          <w:rFonts w:hint="eastAsia" w:ascii="仿宋_GB2312" w:hAnsi="仿宋_GB2312" w:eastAsia="仿宋_GB2312" w:cs="仿宋_GB2312"/>
          <w:b/>
          <w:bCs/>
          <w:sz w:val="32"/>
          <w:szCs w:val="32"/>
        </w:rPr>
        <w:t>2.大数据分析应用与决策赛道</w:t>
      </w:r>
    </w:p>
    <w:p>
      <w:pPr>
        <w:widowControl/>
        <w:shd w:val="clear" w:color="auto" w:fill="FFFFFF"/>
        <w:adjustRightInd w:val="0"/>
        <w:snapToGrid w:val="0"/>
        <w:spacing w:line="560" w:lineRule="exact"/>
        <w:ind w:firstLine="964"/>
        <w:jc w:val="left"/>
        <w:rPr>
          <w:rFonts w:ascii="仿宋_GB2312" w:hAnsi="Microsoft YaHei UI" w:eastAsia="仿宋_GB2312" w:cs="仿宋_GB2312"/>
          <w:color w:val="000000"/>
          <w:kern w:val="0"/>
          <w:sz w:val="32"/>
          <w:szCs w:val="32"/>
          <w:shd w:val="clear" w:color="auto" w:fill="FFFFFF"/>
          <w:lang w:val="zh-CN" w:bidi="ar"/>
        </w:rPr>
      </w:pPr>
      <w:r>
        <w:rPr>
          <w:rFonts w:hint="eastAsia" w:ascii="仿宋_GB2312" w:hAnsi="Microsoft YaHei UI" w:eastAsia="仿宋_GB2312" w:cs="仿宋_GB2312"/>
          <w:color w:val="000000"/>
          <w:kern w:val="0"/>
          <w:sz w:val="32"/>
          <w:szCs w:val="32"/>
          <w:shd w:val="clear" w:color="auto" w:fill="FFFFFF"/>
          <w:lang w:val="zh-CN" w:bidi="ar"/>
        </w:rPr>
        <w:t>评分方式：成绩（团队）=（队员1成绩+…+队员</w:t>
      </w:r>
      <w:r>
        <w:rPr>
          <w:rFonts w:hint="eastAsia" w:ascii="仿宋_GB2312" w:hAnsi="Microsoft YaHei UI" w:eastAsia="仿宋_GB2312" w:cs="仿宋_GB2312"/>
          <w:color w:val="000000"/>
          <w:kern w:val="0"/>
          <w:sz w:val="32"/>
          <w:szCs w:val="32"/>
          <w:shd w:val="clear" w:color="auto" w:fill="FFFFFF"/>
          <w:lang w:bidi="ar"/>
        </w:rPr>
        <w:t>4</w:t>
      </w:r>
      <w:r>
        <w:rPr>
          <w:rFonts w:hint="eastAsia" w:ascii="仿宋_GB2312" w:hAnsi="Microsoft YaHei UI" w:eastAsia="仿宋_GB2312" w:cs="仿宋_GB2312"/>
          <w:color w:val="000000"/>
          <w:kern w:val="0"/>
          <w:sz w:val="32"/>
          <w:szCs w:val="32"/>
          <w:shd w:val="clear" w:color="auto" w:fill="FFFFFF"/>
          <w:lang w:val="zh-CN" w:bidi="ar"/>
        </w:rPr>
        <w:t>成绩）/</w:t>
      </w:r>
      <w:r>
        <w:rPr>
          <w:rFonts w:hint="eastAsia" w:ascii="仿宋_GB2312" w:hAnsi="Microsoft YaHei UI" w:eastAsia="仿宋_GB2312" w:cs="仿宋_GB2312"/>
          <w:color w:val="000000"/>
          <w:kern w:val="0"/>
          <w:sz w:val="32"/>
          <w:szCs w:val="32"/>
          <w:shd w:val="clear" w:color="auto" w:fill="FFFFFF"/>
          <w:lang w:bidi="ar"/>
        </w:rPr>
        <w:t>4</w:t>
      </w:r>
      <w:r>
        <w:rPr>
          <w:rFonts w:hint="eastAsia" w:ascii="仿宋_GB2312" w:hAnsi="Microsoft YaHei UI" w:eastAsia="仿宋_GB2312" w:cs="仿宋_GB2312"/>
          <w:color w:val="000000"/>
          <w:kern w:val="0"/>
          <w:sz w:val="32"/>
          <w:szCs w:val="32"/>
          <w:shd w:val="clear" w:color="auto" w:fill="FFFFFF"/>
          <w:lang w:val="zh-CN" w:bidi="ar"/>
        </w:rPr>
        <w:t>。</w:t>
      </w:r>
    </w:p>
    <w:p>
      <w:pPr>
        <w:widowControl/>
        <w:shd w:val="clear" w:color="auto" w:fill="FFFFFF"/>
        <w:adjustRightInd w:val="0"/>
        <w:snapToGrid w:val="0"/>
        <w:spacing w:line="560" w:lineRule="exact"/>
        <w:ind w:firstLine="964"/>
        <w:jc w:val="left"/>
        <w:rPr>
          <w:rFonts w:ascii="仿宋_GB2312" w:hAnsi="Microsoft YaHei UI" w:eastAsia="仿宋_GB2312" w:cs="仿宋_GB2312"/>
          <w:color w:val="000000"/>
          <w:kern w:val="0"/>
          <w:sz w:val="32"/>
          <w:szCs w:val="32"/>
          <w:shd w:val="clear" w:color="auto" w:fill="FFFFFF"/>
          <w:lang w:val="zh-CN" w:bidi="ar"/>
        </w:rPr>
      </w:pPr>
      <w:r>
        <w:rPr>
          <w:rFonts w:hint="eastAsia" w:ascii="仿宋_GB2312" w:hAnsi="Microsoft YaHei UI" w:eastAsia="仿宋_GB2312" w:cs="仿宋_GB2312"/>
          <w:color w:val="000000"/>
          <w:kern w:val="0"/>
          <w:sz w:val="32"/>
          <w:szCs w:val="32"/>
          <w:shd w:val="clear" w:color="auto" w:fill="FFFFFF"/>
          <w:lang w:val="zh-CN" w:bidi="ar"/>
        </w:rPr>
        <w:t>竞赛排名根据总成绩从高分到低分排名（保留小数两位）确定名次。</w:t>
      </w:r>
    </w:p>
    <w:p>
      <w:pPr>
        <w:shd w:val="clear" w:color="auto" w:fill="FFFFFF"/>
        <w:adjustRightInd w:val="0"/>
        <w:snapToGrid w:val="0"/>
        <w:spacing w:line="560" w:lineRule="exact"/>
        <w:ind w:firstLine="643" w:firstLineChars="200"/>
        <w:rPr>
          <w:rFonts w:ascii="仿宋_GB2312" w:hAnsi="仿宋_GB2312" w:eastAsia="仿宋_GB2312" w:cs="仿宋_GB2312"/>
          <w:b/>
          <w:bCs/>
          <w:sz w:val="32"/>
          <w:szCs w:val="32"/>
          <w:lang w:bidi="ar"/>
        </w:rPr>
      </w:pPr>
      <w:r>
        <w:rPr>
          <w:rFonts w:hint="eastAsia" w:ascii="仿宋_GB2312" w:hAnsi="仿宋_GB2312" w:cs="仿宋_GB2312"/>
          <w:b/>
          <w:bCs/>
          <w:sz w:val="32"/>
          <w:szCs w:val="32"/>
          <w:lang w:bidi="ar"/>
        </w:rPr>
        <w:t>3.</w:t>
      </w:r>
      <w:r>
        <w:rPr>
          <w:rFonts w:hint="eastAsia" w:ascii="仿宋_GB2312" w:hAnsi="仿宋_GB2312" w:eastAsia="仿宋_GB2312" w:cs="仿宋_GB2312"/>
          <w:b/>
          <w:bCs/>
          <w:sz w:val="32"/>
          <w:szCs w:val="32"/>
          <w:lang w:eastAsia="zh-CN" w:bidi="ar"/>
        </w:rPr>
        <w:t>双碳模拟经营实战</w:t>
      </w:r>
      <w:r>
        <w:rPr>
          <w:rFonts w:hint="eastAsia" w:ascii="仿宋_GB2312" w:hAnsi="仿宋_GB2312" w:eastAsia="仿宋_GB2312" w:cs="仿宋_GB2312"/>
          <w:b/>
          <w:bCs/>
          <w:sz w:val="32"/>
          <w:szCs w:val="32"/>
          <w:lang w:bidi="ar"/>
        </w:rPr>
        <w:t>赛道</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评分由软件系统评分完成。分值分为企业权益得分、企业业务数据表单得分。两个分值对应权重比例得到总得分，具体公式如下。</w:t>
      </w:r>
    </w:p>
    <w:p>
      <w:pPr>
        <w:shd w:val="clear" w:color="auto" w:fill="FFFFFF"/>
        <w:adjustRightInd w:val="0"/>
        <w:snapToGrid w:val="0"/>
        <w:spacing w:line="560" w:lineRule="exact"/>
        <w:ind w:firstLine="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竞赛评分方法</w:t>
      </w:r>
    </w:p>
    <w:tbl>
      <w:tblPr>
        <w:tblStyle w:val="29"/>
        <w:tblW w:w="8522" w:type="dxa"/>
        <w:jc w:val="center"/>
        <w:tblLayout w:type="autofit"/>
        <w:tblCellMar>
          <w:top w:w="0" w:type="dxa"/>
          <w:left w:w="115" w:type="dxa"/>
          <w:bottom w:w="0" w:type="dxa"/>
          <w:right w:w="115" w:type="dxa"/>
        </w:tblCellMar>
      </w:tblPr>
      <w:tblGrid>
        <w:gridCol w:w="3216"/>
        <w:gridCol w:w="1666"/>
        <w:gridCol w:w="1304"/>
        <w:gridCol w:w="1032"/>
        <w:gridCol w:w="1304"/>
      </w:tblGrid>
      <w:tr>
        <w:tblPrEx>
          <w:tblCellMar>
            <w:top w:w="0" w:type="dxa"/>
            <w:left w:w="115" w:type="dxa"/>
            <w:bottom w:w="0" w:type="dxa"/>
            <w:right w:w="115" w:type="dxa"/>
          </w:tblCellMar>
        </w:tblPrEx>
        <w:trPr>
          <w:trHeight w:val="0" w:hRule="atLeast"/>
          <w:tblHeader/>
          <w:jc w:val="center"/>
        </w:trPr>
        <w:tc>
          <w:tcPr>
            <w:tcW w:w="321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竞赛模块</w:t>
            </w:r>
          </w:p>
        </w:tc>
        <w:tc>
          <w:tcPr>
            <w:tcW w:w="1666"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时长</w:t>
            </w:r>
          </w:p>
        </w:tc>
        <w:tc>
          <w:tcPr>
            <w:tcW w:w="1304"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分值</w:t>
            </w:r>
          </w:p>
        </w:tc>
        <w:tc>
          <w:tcPr>
            <w:tcW w:w="1032"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权重</w:t>
            </w:r>
          </w:p>
        </w:tc>
        <w:tc>
          <w:tcPr>
            <w:tcW w:w="1304"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总分</w:t>
            </w:r>
          </w:p>
        </w:tc>
      </w:tr>
      <w:tr>
        <w:tblPrEx>
          <w:tblCellMar>
            <w:top w:w="0" w:type="dxa"/>
            <w:left w:w="115" w:type="dxa"/>
            <w:bottom w:w="0" w:type="dxa"/>
            <w:right w:w="115" w:type="dxa"/>
          </w:tblCellMar>
        </w:tblPrEx>
        <w:trPr>
          <w:trHeight w:val="0" w:hRule="atLeast"/>
          <w:jc w:val="center"/>
        </w:trPr>
        <w:tc>
          <w:tcPr>
            <w:tcW w:w="321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rPr>
              <w:t>企业权益得分</w:t>
            </w:r>
          </w:p>
        </w:tc>
        <w:tc>
          <w:tcPr>
            <w:tcW w:w="1666" w:type="dxa"/>
            <w:vMerge w:val="restart"/>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rPr>
              <w:t>200分钟</w:t>
            </w:r>
          </w:p>
        </w:tc>
        <w:tc>
          <w:tcPr>
            <w:tcW w:w="1304"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rPr>
              <w:t>100分</w:t>
            </w:r>
          </w:p>
        </w:tc>
        <w:tc>
          <w:tcPr>
            <w:tcW w:w="1032"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right"/>
              <w:rPr>
                <w:rFonts w:hint="eastAsia" w:ascii="仿宋" w:hAnsi="仿宋" w:eastAsia="仿宋" w:cs="仿宋"/>
                <w:sz w:val="28"/>
                <w:szCs w:val="28"/>
              </w:rPr>
            </w:pPr>
            <w:r>
              <w:rPr>
                <w:rFonts w:hint="eastAsia" w:ascii="仿宋" w:hAnsi="仿宋" w:eastAsia="仿宋" w:cs="仿宋"/>
                <w:sz w:val="28"/>
                <w:szCs w:val="28"/>
              </w:rPr>
              <w:t>70%</w:t>
            </w:r>
          </w:p>
        </w:tc>
        <w:tc>
          <w:tcPr>
            <w:tcW w:w="1304" w:type="dxa"/>
            <w:vMerge w:val="restart"/>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right"/>
              <w:rPr>
                <w:rFonts w:hint="eastAsia" w:ascii="仿宋" w:hAnsi="仿宋" w:eastAsia="仿宋" w:cs="仿宋"/>
                <w:sz w:val="28"/>
                <w:szCs w:val="28"/>
              </w:rPr>
            </w:pPr>
            <w:r>
              <w:rPr>
                <w:rFonts w:hint="eastAsia" w:ascii="仿宋" w:hAnsi="仿宋" w:eastAsia="仿宋" w:cs="仿宋"/>
                <w:sz w:val="28"/>
                <w:szCs w:val="28"/>
              </w:rPr>
              <w:t>100分</w:t>
            </w:r>
          </w:p>
        </w:tc>
      </w:tr>
      <w:tr>
        <w:tblPrEx>
          <w:tblCellMar>
            <w:top w:w="0" w:type="dxa"/>
            <w:left w:w="115" w:type="dxa"/>
            <w:bottom w:w="0" w:type="dxa"/>
            <w:right w:w="115" w:type="dxa"/>
          </w:tblCellMar>
        </w:tblPrEx>
        <w:trPr>
          <w:trHeight w:val="0" w:hRule="atLeast"/>
          <w:jc w:val="center"/>
        </w:trPr>
        <w:tc>
          <w:tcPr>
            <w:tcW w:w="321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rPr>
              <w:t>每年经营数据填写</w:t>
            </w:r>
          </w:p>
        </w:tc>
        <w:tc>
          <w:tcPr>
            <w:tcW w:w="1666" w:type="dxa"/>
            <w:vMerge w:val="continue"/>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p>
        </w:tc>
        <w:tc>
          <w:tcPr>
            <w:tcW w:w="1304"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rPr>
              <w:t>100分</w:t>
            </w:r>
          </w:p>
        </w:tc>
        <w:tc>
          <w:tcPr>
            <w:tcW w:w="1032"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pPr>
              <w:adjustRightInd w:val="0"/>
              <w:snapToGrid w:val="0"/>
              <w:spacing w:line="240" w:lineRule="auto"/>
              <w:ind w:left="0" w:leftChars="0" w:right="0" w:rightChars="0" w:firstLine="0" w:firstLineChars="0"/>
              <w:jc w:val="right"/>
              <w:rPr>
                <w:rFonts w:hint="eastAsia" w:ascii="仿宋" w:hAnsi="仿宋" w:eastAsia="仿宋" w:cs="仿宋"/>
                <w:sz w:val="28"/>
                <w:szCs w:val="28"/>
              </w:rPr>
            </w:pPr>
            <w:r>
              <w:rPr>
                <w:rFonts w:hint="eastAsia" w:ascii="仿宋" w:hAnsi="仿宋" w:eastAsia="仿宋" w:cs="仿宋"/>
                <w:sz w:val="28"/>
                <w:szCs w:val="28"/>
              </w:rPr>
              <w:t>30%</w:t>
            </w:r>
          </w:p>
        </w:tc>
        <w:tc>
          <w:tcPr>
            <w:tcW w:w="1304" w:type="dxa"/>
            <w:vMerge w:val="continue"/>
            <w:tcBorders>
              <w:top w:val="single" w:color="auto" w:sz="4" w:space="0"/>
              <w:left w:val="single" w:color="auto" w:sz="4" w:space="0"/>
              <w:bottom w:val="single" w:color="000000" w:sz="8" w:space="0"/>
              <w:right w:val="single" w:color="auto" w:sz="4" w:space="0"/>
            </w:tcBorders>
            <w:noWrap w:val="0"/>
            <w:tcMar>
              <w:top w:w="-1" w:type="dxa"/>
              <w:left w:w="-1" w:type="dxa"/>
              <w:bottom w:w="-1" w:type="dxa"/>
              <w:right w:w="-1" w:type="dxa"/>
            </w:tcMar>
            <w:vAlign w:val="center"/>
          </w:tcPr>
          <w:p>
            <w:pPr>
              <w:adjustRightInd w:val="0"/>
              <w:snapToGrid w:val="0"/>
              <w:spacing w:after="160" w:line="240" w:lineRule="auto"/>
              <w:ind w:left="0" w:leftChars="0" w:right="0" w:rightChars="0" w:firstLine="0" w:firstLineChars="0"/>
              <w:jc w:val="right"/>
              <w:rPr>
                <w:rFonts w:hint="eastAsia" w:ascii="仿宋" w:hAnsi="仿宋" w:eastAsia="仿宋" w:cs="仿宋"/>
                <w:sz w:val="28"/>
                <w:szCs w:val="28"/>
              </w:rPr>
            </w:pPr>
          </w:p>
        </w:tc>
      </w:tr>
    </w:tbl>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w:t>
      </w:r>
      <w:r>
        <w:rPr>
          <w:rFonts w:hint="eastAsia" w:ascii="仿宋_GB2312" w:hAnsi="仿宋_GB2312" w:eastAsia="仿宋_GB2312" w:cs="仿宋_GB2312"/>
          <w:sz w:val="32"/>
          <w:szCs w:val="32"/>
        </w:rPr>
        <w:t>总得分=企业权益分值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权重+业务表单得分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权重</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(2)</w:t>
      </w:r>
      <w:r>
        <w:rPr>
          <w:rFonts w:hint="eastAsia" w:ascii="仿宋_GB2312" w:hAnsi="仿宋_GB2312" w:eastAsia="仿宋_GB2312" w:cs="仿宋_GB2312"/>
          <w:sz w:val="32"/>
          <w:szCs w:val="32"/>
        </w:rPr>
        <w:t>违反竞赛规定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提前进行操作或竞赛终止仍继续操作的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由现场裁判负责记录并酌情扣1-5分。</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(3)</w:t>
      </w:r>
      <w:r>
        <w:rPr>
          <w:rFonts w:hint="eastAsia" w:ascii="仿宋_GB2312" w:hAnsi="仿宋_GB2312" w:eastAsia="仿宋_GB2312" w:cs="仿宋_GB2312"/>
          <w:sz w:val="32"/>
          <w:szCs w:val="32"/>
        </w:rPr>
        <w:t>在竞赛过程中，违反赛场纪律，由裁判现场记录参赛选手违纪情节，依据情节扣1-5分。</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(4)</w:t>
      </w:r>
      <w:r>
        <w:rPr>
          <w:rFonts w:hint="eastAsia" w:ascii="仿宋_GB2312" w:hAnsi="仿宋_GB2312" w:eastAsia="仿宋_GB2312" w:cs="仿宋_GB2312"/>
          <w:sz w:val="32"/>
          <w:szCs w:val="32"/>
        </w:rPr>
        <w:t>在完成工作任务的过程中违反操作规程或因操作不当，造成设备损坏或影响其他选手比赛的，扣5-10分；造成设备损坏或影响他人竞赛情节严重的，报竞赛执委会批准，由首席裁判宣布终止该选手的</w:t>
      </w:r>
      <w:r>
        <w:rPr>
          <w:rFonts w:hint="eastAsia" w:ascii="仿宋_GB2312" w:hAnsi="仿宋_GB2312" w:eastAsia="仿宋_GB2312" w:cs="仿宋_GB2312"/>
          <w:sz w:val="32"/>
          <w:szCs w:val="32"/>
          <w:lang w:val="en-US" w:eastAsia="zh-CN"/>
        </w:rPr>
        <w:t>竞</w:t>
      </w:r>
      <w:r>
        <w:rPr>
          <w:rFonts w:hint="eastAsia" w:ascii="仿宋_GB2312" w:hAnsi="仿宋_GB2312" w:eastAsia="仿宋_GB2312" w:cs="仿宋_GB2312"/>
          <w:sz w:val="32"/>
          <w:szCs w:val="32"/>
        </w:rPr>
        <w:t>赛，竞赛成绩以0分计算。</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(5)</w:t>
      </w:r>
      <w:r>
        <w:rPr>
          <w:rFonts w:hint="eastAsia" w:ascii="仿宋_GB2312" w:hAnsi="仿宋_GB2312" w:eastAsia="仿宋_GB2312" w:cs="仿宋_GB2312"/>
          <w:sz w:val="32"/>
          <w:szCs w:val="32"/>
        </w:rPr>
        <w:t>损坏赛场提供的设备，浪费材料，污染赛场环境，工具遗忘在赛场等不符合职业规范的行为，视情节扣5-10分。</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w:t>
      </w:r>
      <w:r>
        <w:rPr>
          <w:rFonts w:hint="eastAsia" w:ascii="仿宋_GB2312" w:hAnsi="仿宋_GB2312" w:eastAsia="仿宋_GB2312" w:cs="仿宋_GB2312"/>
          <w:sz w:val="32"/>
          <w:szCs w:val="32"/>
        </w:rPr>
        <w:t>评分规则</w:t>
      </w:r>
    </w:p>
    <w:p>
      <w:pPr>
        <w:widowControl/>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参赛队在双碳模拟经营决策竞赛平台的成绩即经营的所有者权益排名与填制报表换算综合排名，在各参赛队开展经营的各项决策数据提交后，由系统自动计算和形成每年比赛成绩；持续经营5年后，最后的总成绩即竞赛成绩。本次竞赛遵循“公开、公平、公正”的原则。</w:t>
      </w:r>
    </w:p>
    <w:p>
      <w:pPr>
        <w:shd w:val="clear" w:color="auto" w:fill="FFFFFF"/>
        <w:adjustRightInd w:val="0"/>
        <w:snapToGrid w:val="0"/>
        <w:spacing w:line="560" w:lineRule="exact"/>
        <w:ind w:firstLine="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评分细则</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788"/>
        <w:gridCol w:w="970"/>
        <w:gridCol w:w="4432"/>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项目</w:t>
            </w:r>
          </w:p>
        </w:tc>
        <w:tc>
          <w:tcPr>
            <w:tcW w:w="46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权重</w:t>
            </w:r>
          </w:p>
        </w:tc>
        <w:tc>
          <w:tcPr>
            <w:tcW w:w="56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内容</w:t>
            </w:r>
          </w:p>
        </w:tc>
        <w:tc>
          <w:tcPr>
            <w:tcW w:w="259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评分细则</w:t>
            </w:r>
          </w:p>
        </w:tc>
        <w:tc>
          <w:tcPr>
            <w:tcW w:w="61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4" w:hRule="atLeast"/>
        </w:trPr>
        <w:tc>
          <w:tcPr>
            <w:tcW w:w="7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企业权益（100分）</w:t>
            </w:r>
          </w:p>
        </w:tc>
        <w:tc>
          <w:tcPr>
            <w:tcW w:w="46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0.7</w:t>
            </w:r>
          </w:p>
        </w:tc>
        <w:tc>
          <w:tcPr>
            <w:tcW w:w="56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企业权益得分</w:t>
            </w:r>
          </w:p>
        </w:tc>
        <w:tc>
          <w:tcPr>
            <w:tcW w:w="259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以赛项实际参赛队总数为基数，根据平台中最后一年企业权益排行榜，一、二、三批次比例分别为10%、15%、15%（小数点后四舍五入）。其中小组在第一批次得到100分；第二批次获得90分；第三批次获得80分；其余未得到批次名次的得到70分；小组在企业经营过程中，现金余额破产的，得到60分。参赛队未进行到第五年，按照0分处理（破产除外）。</w:t>
            </w:r>
          </w:p>
        </w:tc>
        <w:tc>
          <w:tcPr>
            <w:tcW w:w="61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企业经营业务数据表单填写（100分）</w:t>
            </w:r>
          </w:p>
        </w:tc>
        <w:tc>
          <w:tcPr>
            <w:tcW w:w="46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0.3</w:t>
            </w:r>
          </w:p>
        </w:tc>
        <w:tc>
          <w:tcPr>
            <w:tcW w:w="56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每年经营数据填写</w:t>
            </w:r>
          </w:p>
        </w:tc>
        <w:tc>
          <w:tcPr>
            <w:tcW w:w="259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以各小组企业经营决策过程中的数据为蓝本，学生需要根据每年决策的数据，填写对应的业务数据表单，第一次答对得分100%；第二次答对60%；第三次答对40%；</w:t>
            </w:r>
            <w:r>
              <w:rPr>
                <w:rFonts w:hint="eastAsia" w:ascii="仿宋" w:hAnsi="仿宋" w:eastAsia="仿宋" w:cs="仿宋"/>
                <w:sz w:val="28"/>
                <w:szCs w:val="28"/>
                <w:lang w:val="en-US" w:eastAsia="zh-CN"/>
              </w:rPr>
              <w:t>第</w:t>
            </w:r>
            <w:r>
              <w:rPr>
                <w:rFonts w:hint="eastAsia" w:ascii="仿宋" w:hAnsi="仿宋" w:eastAsia="仿宋" w:cs="仿宋"/>
                <w:sz w:val="28"/>
                <w:szCs w:val="28"/>
              </w:rPr>
              <w:t>四次及以上系统会给出对应答案，填写正确后得分20%，学生要自行填写完成。五年经营模拟填制报表总分100分，第一年总分20分；第二年总分20分；第三年总分20分；第四年总分20分；第五年总分20分。具体分值分配见下表。</w:t>
            </w:r>
          </w:p>
        </w:tc>
        <w:tc>
          <w:tcPr>
            <w:tcW w:w="61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100分</w:t>
            </w:r>
          </w:p>
        </w:tc>
      </w:tr>
    </w:tbl>
    <w:p>
      <w:pPr>
        <w:shd w:val="clear" w:color="auto" w:fill="FFFFFF"/>
        <w:adjustRightInd w:val="0"/>
        <w:snapToGrid w:val="0"/>
        <w:spacing w:line="560" w:lineRule="exact"/>
        <w:ind w:firstLine="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表单评分细则</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1"/>
        <w:gridCol w:w="3345"/>
        <w:gridCol w:w="1872"/>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69" w:type="pct"/>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项目</w:t>
            </w:r>
          </w:p>
        </w:tc>
        <w:tc>
          <w:tcPr>
            <w:tcW w:w="1962" w:type="pct"/>
            <w:vAlign w:val="center"/>
          </w:tcPr>
          <w:p>
            <w:pPr>
              <w:adjustRightInd w:val="0"/>
              <w:snapToGrid w:val="0"/>
              <w:spacing w:line="360" w:lineRule="auto"/>
              <w:ind w:firstLine="0"/>
              <w:jc w:val="center"/>
              <w:rPr>
                <w:rFonts w:hint="eastAsia" w:ascii="仿宋" w:hAnsi="仿宋" w:eastAsia="仿宋" w:cs="仿宋"/>
                <w:b/>
                <w:sz w:val="28"/>
                <w:szCs w:val="28"/>
              </w:rPr>
            </w:pPr>
            <w:r>
              <w:rPr>
                <w:rFonts w:hint="eastAsia" w:ascii="仿宋" w:hAnsi="仿宋" w:eastAsia="仿宋" w:cs="仿宋"/>
                <w:b/>
                <w:sz w:val="28"/>
                <w:szCs w:val="28"/>
              </w:rPr>
              <w:t>业务</w:t>
            </w:r>
          </w:p>
        </w:tc>
        <w:tc>
          <w:tcPr>
            <w:tcW w:w="1098" w:type="pct"/>
            <w:vAlign w:val="center"/>
          </w:tcPr>
          <w:p>
            <w:pPr>
              <w:adjustRightInd w:val="0"/>
              <w:snapToGrid w:val="0"/>
              <w:spacing w:line="360" w:lineRule="auto"/>
              <w:ind w:firstLine="0"/>
              <w:jc w:val="center"/>
              <w:rPr>
                <w:rFonts w:hint="eastAsia" w:ascii="仿宋" w:hAnsi="仿宋" w:eastAsia="仿宋" w:cs="仿宋"/>
                <w:b/>
                <w:sz w:val="28"/>
                <w:szCs w:val="28"/>
              </w:rPr>
            </w:pPr>
            <w:r>
              <w:rPr>
                <w:rFonts w:hint="eastAsia" w:ascii="仿宋" w:hAnsi="仿宋" w:eastAsia="仿宋" w:cs="仿宋"/>
                <w:b/>
                <w:sz w:val="28"/>
                <w:szCs w:val="28"/>
              </w:rPr>
              <w:t>分值</w:t>
            </w:r>
          </w:p>
        </w:tc>
        <w:tc>
          <w:tcPr>
            <w:tcW w:w="1169" w:type="pct"/>
            <w:vAlign w:val="center"/>
          </w:tcPr>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pct"/>
            <w:vMerge w:val="restart"/>
            <w:vAlign w:val="center"/>
          </w:tcPr>
          <w:p>
            <w:pPr>
              <w:adjustRightInd w:val="0"/>
              <w:snapToGrid w:val="0"/>
              <w:spacing w:line="360" w:lineRule="auto"/>
              <w:ind w:firstLine="0"/>
              <w:jc w:val="both"/>
              <w:rPr>
                <w:rFonts w:hint="eastAsia" w:ascii="仿宋" w:hAnsi="仿宋" w:eastAsia="仿宋" w:cs="仿宋"/>
                <w:sz w:val="28"/>
                <w:szCs w:val="28"/>
              </w:rPr>
            </w:pPr>
            <w:r>
              <w:rPr>
                <w:rFonts w:hint="eastAsia" w:ascii="仿宋" w:hAnsi="仿宋" w:eastAsia="仿宋" w:cs="仿宋"/>
                <w:sz w:val="28"/>
                <w:szCs w:val="28"/>
              </w:rPr>
              <w:t>每一完整年业务数据表单（20分）</w:t>
            </w: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填制配额报表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2分</w:t>
            </w:r>
          </w:p>
        </w:tc>
        <w:tc>
          <w:tcPr>
            <w:tcW w:w="1169" w:type="pct"/>
            <w:vMerge w:val="restart"/>
            <w:vAlign w:val="center"/>
          </w:tcPr>
          <w:p>
            <w:pPr>
              <w:adjustRightInd w:val="0"/>
              <w:snapToGrid w:val="0"/>
              <w:spacing w:line="360" w:lineRule="auto"/>
              <w:ind w:firstLine="723"/>
              <w:rPr>
                <w:rFonts w:hint="eastAsia" w:ascii="仿宋" w:hAnsi="仿宋" w:eastAsia="仿宋" w:cs="仿宋"/>
                <w:sz w:val="28"/>
                <w:szCs w:val="28"/>
              </w:rPr>
            </w:pPr>
            <w:r>
              <w:rPr>
                <w:rFonts w:hint="eastAsia" w:ascii="仿宋" w:hAnsi="仿宋" w:eastAsia="仿宋" w:cs="仿宋"/>
                <w:sz w:val="28"/>
                <w:szCs w:val="28"/>
              </w:rPr>
              <w:t>第一次答对得分100%；第二次答对60%；第三次答对40%；</w:t>
            </w:r>
            <w:r>
              <w:rPr>
                <w:rFonts w:hint="eastAsia" w:ascii="仿宋" w:hAnsi="仿宋" w:eastAsia="仿宋" w:cs="仿宋"/>
                <w:sz w:val="28"/>
                <w:szCs w:val="28"/>
                <w:lang w:val="en-US" w:eastAsia="zh-CN"/>
              </w:rPr>
              <w:t>第</w:t>
            </w:r>
            <w:r>
              <w:rPr>
                <w:rFonts w:hint="eastAsia" w:ascii="仿宋" w:hAnsi="仿宋" w:eastAsia="仿宋" w:cs="仿宋"/>
                <w:sz w:val="28"/>
                <w:szCs w:val="28"/>
              </w:rPr>
              <w:t>四次及以上系统会给出对应答案，填写正确后得分20%。</w:t>
            </w:r>
          </w:p>
          <w:p>
            <w:pPr>
              <w:adjustRightInd w:val="0"/>
              <w:snapToGrid w:val="0"/>
              <w:spacing w:line="360" w:lineRule="auto"/>
              <w:ind w:firstLine="723"/>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填制碳汇报表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填制生产线报表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1.5分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填制物料报表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填制电力报表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填制产品生产碳排放核算报表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1.5分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填制订单交付报表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填制绿贷报表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1分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填制自有现金报表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填制年末损益报表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2.5分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9" w:type="pct"/>
            <w:vMerge w:val="continue"/>
          </w:tcPr>
          <w:p>
            <w:pPr>
              <w:adjustRightInd w:val="0"/>
              <w:snapToGrid w:val="0"/>
              <w:spacing w:line="360" w:lineRule="auto"/>
              <w:ind w:firstLine="723"/>
              <w:jc w:val="center"/>
              <w:rPr>
                <w:rFonts w:hint="eastAsia" w:ascii="仿宋" w:hAnsi="仿宋" w:eastAsia="仿宋" w:cs="仿宋"/>
                <w:sz w:val="28"/>
                <w:szCs w:val="28"/>
              </w:rPr>
            </w:pPr>
          </w:p>
        </w:tc>
        <w:tc>
          <w:tcPr>
            <w:tcW w:w="1962"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填制年末权益报表</w:t>
            </w:r>
          </w:p>
        </w:tc>
        <w:tc>
          <w:tcPr>
            <w:tcW w:w="1098" w:type="pct"/>
            <w:vAlign w:val="center"/>
          </w:tcPr>
          <w:p>
            <w:pPr>
              <w:adjustRightInd w:val="0"/>
              <w:snapToGrid w:val="0"/>
              <w:spacing w:line="360" w:lineRule="auto"/>
              <w:ind w:firstLine="0"/>
              <w:jc w:val="center"/>
              <w:rPr>
                <w:rFonts w:hint="eastAsia" w:ascii="仿宋" w:hAnsi="仿宋" w:eastAsia="仿宋" w:cs="仿宋"/>
                <w:sz w:val="28"/>
                <w:szCs w:val="28"/>
              </w:rPr>
            </w:pPr>
            <w:r>
              <w:rPr>
                <w:rFonts w:hint="eastAsia" w:ascii="仿宋" w:hAnsi="仿宋" w:eastAsia="仿宋" w:cs="仿宋"/>
                <w:sz w:val="28"/>
                <w:szCs w:val="28"/>
              </w:rPr>
              <w:t>2.5分</w:t>
            </w:r>
          </w:p>
        </w:tc>
        <w:tc>
          <w:tcPr>
            <w:tcW w:w="1169" w:type="pct"/>
            <w:vMerge w:val="continue"/>
          </w:tcPr>
          <w:p>
            <w:pPr>
              <w:adjustRightInd w:val="0"/>
              <w:snapToGrid w:val="0"/>
              <w:spacing w:line="360" w:lineRule="auto"/>
              <w:ind w:firstLine="723"/>
              <w:jc w:val="center"/>
              <w:rPr>
                <w:rFonts w:hint="eastAsia" w:ascii="仿宋" w:hAnsi="仿宋" w:eastAsia="仿宋" w:cs="仿宋"/>
                <w:sz w:val="28"/>
                <w:szCs w:val="28"/>
              </w:rPr>
            </w:pPr>
          </w:p>
        </w:tc>
      </w:tr>
    </w:tbl>
    <w:p>
      <w:pPr>
        <w:shd w:val="clear" w:color="auto" w:fill="FFFFFF"/>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cs="仿宋_GB2312"/>
          <w:b/>
          <w:bCs/>
          <w:sz w:val="32"/>
          <w:szCs w:val="32"/>
        </w:rPr>
        <w:t>4.</w:t>
      </w:r>
      <w:r>
        <w:rPr>
          <w:rFonts w:hint="eastAsia" w:ascii="仿宋_GB2312" w:hAnsi="仿宋_GB2312" w:eastAsia="仿宋_GB2312" w:cs="仿宋_GB2312"/>
          <w:b/>
          <w:bCs/>
          <w:sz w:val="32"/>
          <w:szCs w:val="32"/>
        </w:rPr>
        <w:t>数字经济决策创新赛道</w:t>
      </w:r>
    </w:p>
    <w:p>
      <w:pPr>
        <w:keepNext w:val="0"/>
        <w:keepLines w:val="0"/>
        <w:pageBreakBefore w:val="0"/>
        <w:shd w:val="clear" w:color="auto" w:fill="FFFFFF"/>
        <w:kinsoku/>
        <w:wordWrap/>
        <w:overflowPunct/>
        <w:topLinePunct w:val="0"/>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）省赛总决赛成绩=“数字经济决策”折算分*</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%+“数字经济大数据分析”*</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w:t>
      </w:r>
    </w:p>
    <w:p>
      <w:pPr>
        <w:keepNext w:val="0"/>
        <w:keepLines w:val="0"/>
        <w:pageBreakBefore w:val="0"/>
        <w:shd w:val="clear" w:color="auto" w:fill="FFFFFF"/>
        <w:kinsoku/>
        <w:wordWrap/>
        <w:overflowPunct/>
        <w:topLinePunct w:val="0"/>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）评分规则：“数字经济决策”折算分：根据</w:t>
      </w:r>
      <w:r>
        <w:rPr>
          <w:rFonts w:hint="eastAsia" w:ascii="仿宋_GB2312" w:hAnsi="仿宋_GB2312" w:eastAsia="仿宋_GB2312" w:cs="仿宋_GB2312"/>
          <w:sz w:val="32"/>
          <w:szCs w:val="32"/>
          <w:lang w:val="en-US" w:eastAsia="zh-CN"/>
        </w:rPr>
        <w:t>赛事</w:t>
      </w:r>
      <w:r>
        <w:rPr>
          <w:rFonts w:hint="eastAsia" w:ascii="仿宋_GB2312" w:hAnsi="仿宋_GB2312" w:eastAsia="仿宋_GB2312" w:cs="仿宋_GB2312"/>
          <w:sz w:val="32"/>
          <w:szCs w:val="32"/>
        </w:rPr>
        <w:t>环节组内“数字经济决策”最终得分从高到低排名，第一名折算为100分、第二名折算为98分、第三名折算为96分，以此类推每降低一个名次折算分降低2分。</w:t>
      </w:r>
    </w:p>
    <w:p>
      <w:pPr>
        <w:widowControl/>
        <w:shd w:val="clear" w:color="auto" w:fill="FFFFFF"/>
        <w:adjustRightInd w:val="0"/>
        <w:snapToGrid w:val="0"/>
        <w:spacing w:line="560" w:lineRule="exact"/>
        <w:ind w:firstLine="640" w:firstLineChars="200"/>
        <w:jc w:val="left"/>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“数字经济大数据分析”得分=系统得分-违规扣分</w:t>
      </w:r>
    </w:p>
    <w:p>
      <w:pPr>
        <w:widowControl/>
        <w:shd w:val="clear" w:color="auto" w:fill="FFFFFF"/>
        <w:adjustRightInd w:val="0"/>
        <w:snapToGrid w:val="0"/>
        <w:spacing w:line="560" w:lineRule="exact"/>
        <w:ind w:firstLine="640" w:firstLineChars="200"/>
        <w:jc w:val="left"/>
        <w:outlineLvl w:val="0"/>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九</w:t>
      </w:r>
      <w:r>
        <w:rPr>
          <w:rFonts w:ascii="黑体" w:hAnsi="黑体" w:eastAsia="黑体" w:cs="黑体"/>
          <w:kern w:val="0"/>
          <w:sz w:val="32"/>
          <w:szCs w:val="32"/>
          <w:shd w:val="clear" w:color="auto" w:fill="FFFFFF"/>
          <w:lang w:bidi="ar"/>
        </w:rPr>
        <w:t>、奖项设定</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所有赛道设团队奖、优秀指导教师奖和优秀组织奖。</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团队奖：以</w:t>
      </w:r>
      <w:r>
        <w:rPr>
          <w:rFonts w:hint="eastAsia" w:ascii="仿宋_GB2312" w:hAnsi="仿宋_GB2312" w:eastAsia="仿宋_GB2312" w:cs="仿宋_GB2312"/>
          <w:sz w:val="32"/>
          <w:szCs w:val="32"/>
          <w:lang w:val="en-US" w:eastAsia="zh-CN"/>
        </w:rPr>
        <w:t>参加</w:t>
      </w:r>
      <w:r>
        <w:rPr>
          <w:rFonts w:hint="eastAsia" w:ascii="仿宋_GB2312" w:hAnsi="仿宋_GB2312" w:eastAsia="仿宋_GB2312" w:cs="仿宋_GB2312"/>
          <w:sz w:val="32"/>
          <w:szCs w:val="32"/>
        </w:rPr>
        <w:t>省总决赛</w:t>
      </w:r>
      <w:r>
        <w:rPr>
          <w:rFonts w:hint="eastAsia" w:ascii="仿宋_GB2312" w:hAnsi="仿宋_GB2312" w:eastAsia="仿宋_GB2312" w:cs="仿宋_GB2312"/>
          <w:sz w:val="32"/>
          <w:szCs w:val="32"/>
          <w:lang w:val="en-US" w:eastAsia="zh-CN"/>
        </w:rPr>
        <w:t>队伍数量为</w:t>
      </w:r>
      <w:r>
        <w:rPr>
          <w:rFonts w:hint="eastAsia" w:ascii="仿宋_GB2312" w:hAnsi="仿宋_GB2312" w:eastAsia="仿宋_GB2312" w:cs="仿宋_GB2312"/>
          <w:sz w:val="32"/>
          <w:szCs w:val="32"/>
          <w:lang w:eastAsia="zh-CN"/>
        </w:rPr>
        <w:t>基数，</w:t>
      </w: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综合成绩排名设一等奖10%、二等奖20%、三等奖30%。</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优秀指导教师奖：向获一等奖团队的指导教师颁发优秀指导教师证书。</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优秀组织奖：向获一等奖团队的院校颁发优秀组织奖证书。</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竞赛结束后，获奖名单将在竞赛网站上进行公示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获奖证书以报名信息为准，后期不得修改。无异议后，上报安徽省教育厅，经高教网公示无异议后，由安徽省教育厅发文公布获奖名单，向获奖团队、优秀指导教师和优秀组织院校颁发证书。</w:t>
      </w:r>
    </w:p>
    <w:p>
      <w:pPr>
        <w:shd w:val="clear" w:color="auto" w:fill="FFFFFF"/>
        <w:adjustRightInd w:val="0"/>
        <w:snapToGrid w:val="0"/>
        <w:spacing w:line="560" w:lineRule="exact"/>
        <w:ind w:firstLine="640" w:firstLineChars="200"/>
        <w:outlineLvl w:val="0"/>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十、赛项安全</w:t>
      </w:r>
    </w:p>
    <w:p>
      <w:pPr>
        <w:shd w:val="clear" w:color="auto" w:fill="FFFFFF"/>
        <w:adjustRightInd w:val="0"/>
        <w:snapToGrid w:val="0"/>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（一）比赛环境</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大赛承办方将全力保障大赛的平台运行平稳并提供相关的服务，保障大赛的顺利进行。</w:t>
      </w:r>
    </w:p>
    <w:p>
      <w:pPr>
        <w:shd w:val="clear" w:color="auto" w:fill="FFFFFF"/>
        <w:adjustRightInd w:val="0"/>
        <w:snapToGrid w:val="0"/>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（二）应急处理</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比赛期间若发生意外事故，发现者应第一时间就报告大赛秘书处，同时采取措施避免事态扩大。大赛秘书处应立即启动预案予以解决并上报大赛组委会。赛事出现重大安全问题可以停赛，是否停赛由大赛组委会决定。</w:t>
      </w:r>
    </w:p>
    <w:p>
      <w:pPr>
        <w:shd w:val="clear" w:color="auto" w:fill="FFFFFF"/>
        <w:adjustRightInd w:val="0"/>
        <w:snapToGrid w:val="0"/>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（三）处罚措施</w:t>
      </w:r>
    </w:p>
    <w:p>
      <w:pPr>
        <w:shd w:val="clear" w:color="auto" w:fill="FFFFFF"/>
        <w:adjustRightInd w:val="0"/>
        <w:snapToGrid w:val="0"/>
        <w:spacing w:line="560" w:lineRule="exact"/>
        <w:ind w:firstLine="640" w:firstLineChars="200"/>
        <w:rPr>
          <w:rFonts w:hint="eastAsia" w:ascii="黑体" w:hAnsi="黑体" w:eastAsia="黑体" w:cs="黑体"/>
          <w:kern w:val="0"/>
          <w:sz w:val="32"/>
          <w:szCs w:val="32"/>
          <w:shd w:val="clear" w:color="auto" w:fill="FFFFFF"/>
          <w:lang w:bidi="ar"/>
        </w:rPr>
      </w:pPr>
      <w:r>
        <w:rPr>
          <w:rFonts w:hint="eastAsia" w:ascii="仿宋_GB2312" w:hAnsi="仿宋_GB2312" w:eastAsia="仿宋_GB2312" w:cs="仿宋_GB2312"/>
          <w:sz w:val="32"/>
          <w:szCs w:val="32"/>
        </w:rPr>
        <w:t>大赛期间严格遵守各项制度，合理安排各项赛程。由大赛仲裁委员会监督和保障大赛的公正性和公平性，对违规者坚决查处。大赛将严格贯彻执行中央八项规定精神和安徽省委三十条规定精神、坚持勤俭办赛，反对铺张浪费。</w:t>
      </w:r>
    </w:p>
    <w:p>
      <w:pPr>
        <w:widowControl/>
        <w:shd w:val="clear" w:color="auto" w:fill="FFFFFF"/>
        <w:adjustRightInd w:val="0"/>
        <w:snapToGrid w:val="0"/>
        <w:spacing w:line="560" w:lineRule="exact"/>
        <w:ind w:firstLine="640" w:firstLineChars="200"/>
        <w:jc w:val="left"/>
        <w:outlineLvl w:val="0"/>
        <w:rPr>
          <w:rFonts w:hint="eastAsia"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t>十</w:t>
      </w:r>
      <w:r>
        <w:rPr>
          <w:rFonts w:hint="eastAsia" w:ascii="黑体" w:hAnsi="黑体" w:eastAsia="黑体" w:cs="黑体"/>
          <w:kern w:val="0"/>
          <w:sz w:val="32"/>
          <w:szCs w:val="32"/>
          <w:shd w:val="clear" w:color="auto" w:fill="FFFFFF"/>
          <w:lang w:bidi="ar"/>
        </w:rPr>
        <w:t>一</w:t>
      </w:r>
      <w:r>
        <w:rPr>
          <w:rFonts w:ascii="黑体" w:hAnsi="黑体" w:eastAsia="黑体" w:cs="黑体"/>
          <w:kern w:val="0"/>
          <w:sz w:val="32"/>
          <w:szCs w:val="32"/>
          <w:shd w:val="clear" w:color="auto" w:fill="FFFFFF"/>
          <w:lang w:bidi="ar"/>
        </w:rPr>
        <w:t>、竞赛须知</w:t>
      </w:r>
    </w:p>
    <w:p>
      <w:pPr>
        <w:numPr>
          <w:ilvl w:val="255"/>
          <w:numId w:val="0"/>
        </w:numPr>
        <w:shd w:val="clear" w:color="auto" w:fill="FFFFFF"/>
        <w:adjustRightInd w:val="0"/>
        <w:snapToGrid w:val="0"/>
        <w:spacing w:line="560" w:lineRule="exact"/>
        <w:ind w:firstLine="643" w:firstLineChars="200"/>
        <w:outlineLvl w:val="1"/>
        <w:rPr>
          <w:rFonts w:ascii="仿宋_GB2312" w:hAnsi="仿宋_GB2312" w:eastAsia="仿宋_GB2312" w:cs="仿宋_GB2312"/>
          <w:sz w:val="32"/>
          <w:szCs w:val="32"/>
          <w:highlight w:val="none"/>
        </w:rPr>
      </w:pPr>
      <w:r>
        <w:rPr>
          <w:rFonts w:ascii="仿宋" w:hAnsi="仿宋" w:eastAsia="仿宋" w:cs="仿宋"/>
          <w:b/>
          <w:bCs/>
          <w:sz w:val="32"/>
          <w:szCs w:val="32"/>
          <w:highlight w:val="none"/>
          <w:shd w:val="clear" w:color="auto" w:fill="FFFFFF"/>
        </w:rPr>
        <w:t>（一）参赛队须知</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000000"/>
          <w:kern w:val="0"/>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rPr>
        <w:t>)</w:t>
      </w:r>
      <w:r>
        <w:rPr>
          <w:rFonts w:ascii="仿宋_GB2312" w:hAnsi="仿宋_GB2312" w:eastAsia="仿宋_GB2312" w:cs="仿宋_GB2312"/>
          <w:sz w:val="32"/>
          <w:szCs w:val="32"/>
        </w:rPr>
        <w:t>参赛队组成：</w:t>
      </w:r>
      <w:r>
        <w:rPr>
          <w:rFonts w:hint="eastAsia" w:ascii="仿宋_GB2312" w:hAnsi="仿宋_GB2312" w:eastAsia="仿宋_GB2312" w:cs="仿宋_GB2312"/>
          <w:sz w:val="32"/>
          <w:szCs w:val="32"/>
        </w:rPr>
        <w:t>参赛选手必须是具有正式学籍的高校在校学生。所有参赛选手必须使用真实学生身份报名参赛，如实填写姓名、所在学校、年级专业、学号、身份证信息、联系方式（手机、QQ、邮箱）等，如冒用他人姓名报名参赛，一经发现即取消参赛资格。</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 w:hAnsi="仿宋" w:eastAsia="仿宋"/>
          <w:sz w:val="32"/>
          <w:szCs w:val="32"/>
        </w:rPr>
        <w:t>(2)</w:t>
      </w:r>
      <w:r>
        <w:rPr>
          <w:rFonts w:ascii="仿宋_GB2312" w:hAnsi="仿宋_GB2312" w:eastAsia="仿宋_GB2312" w:cs="仿宋_GB2312"/>
          <w:sz w:val="32"/>
          <w:szCs w:val="32"/>
        </w:rPr>
        <w:t>参赛队员在报名获得审核确认后，原则上不再更换，如筹备过程中，队员因故不能参赛，所在</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主管部门需出具书面说明并按相关规定补充人员并接受审核；竞赛开始后，参赛队不得更换参赛队员</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eastAsia="仿宋_GB2312" w:cs="仿宋_GB2312"/>
          <w:sz w:val="32"/>
          <w:szCs w:val="32"/>
        </w:rPr>
        <w:t>3</w:t>
      </w:r>
      <w:r>
        <w:rPr>
          <w:rFonts w:hint="eastAsia" w:cs="仿宋_GB2312" w:asciiTheme="minorEastAsia" w:hAnsiTheme="minorEastAsia"/>
          <w:sz w:val="32"/>
          <w:szCs w:val="32"/>
        </w:rPr>
        <w:t>）</w:t>
      </w:r>
      <w:r>
        <w:rPr>
          <w:rFonts w:ascii="仿宋_GB2312" w:hAnsi="仿宋_GB2312" w:eastAsia="仿宋_GB2312" w:cs="仿宋_GB2312"/>
          <w:sz w:val="32"/>
          <w:szCs w:val="32"/>
        </w:rPr>
        <w:t>参赛队按照大赛赛程安排，凭大赛组委会颁发的参赛证、有效身份证件参加比赛及相关活动，参赛选手注意仪容仪表。</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eastAsia="仿宋_GB2312" w:cs="仿宋_GB2312"/>
          <w:sz w:val="32"/>
          <w:szCs w:val="32"/>
        </w:rPr>
        <w:t>4</w:t>
      </w:r>
      <w:r>
        <w:rPr>
          <w:rFonts w:hint="eastAsia" w:cs="仿宋_GB2312" w:asciiTheme="minorEastAsia" w:hAnsiTheme="minorEastAsia"/>
          <w:sz w:val="32"/>
          <w:szCs w:val="32"/>
        </w:rPr>
        <w:t>）</w:t>
      </w:r>
      <w:r>
        <w:rPr>
          <w:rFonts w:hint="eastAsia" w:ascii="仿宋_GB2312" w:hAnsi="仿宋_GB2312" w:eastAsia="仿宋_GB2312" w:cs="仿宋_GB2312"/>
          <w:sz w:val="32"/>
          <w:szCs w:val="32"/>
        </w:rPr>
        <w:t>熟悉竞赛规程，做好本参赛队准备、组织、管理工作。</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eastAsia="仿宋_GB2312" w:cs="仿宋_GB2312"/>
          <w:sz w:val="32"/>
          <w:szCs w:val="32"/>
        </w:rPr>
        <w:t>5</w:t>
      </w:r>
      <w:r>
        <w:rPr>
          <w:rFonts w:hint="eastAsia" w:cs="仿宋_GB2312" w:asciiTheme="minorEastAsia" w:hAnsiTheme="minorEastAsia"/>
          <w:sz w:val="32"/>
          <w:szCs w:val="32"/>
        </w:rPr>
        <w:t>）</w:t>
      </w:r>
      <w:r>
        <w:rPr>
          <w:rFonts w:hint="eastAsia" w:ascii="仿宋_GB2312" w:hAnsi="仿宋_GB2312" w:eastAsia="仿宋_GB2312" w:cs="仿宋_GB2312"/>
          <w:sz w:val="32"/>
          <w:szCs w:val="32"/>
        </w:rPr>
        <w:t>贯彻执行大赛各项规定，竞赛期间不得私自接触裁判。</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cs="仿宋_GB2312" w:asciiTheme="minorEastAsia" w:hAnsiTheme="minorEastAsia"/>
          <w:sz w:val="32"/>
          <w:szCs w:val="32"/>
        </w:rPr>
        <w:t>（</w:t>
      </w:r>
      <w:r>
        <w:rPr>
          <w:rFonts w:hint="eastAsia" w:ascii="仿宋_GB2312" w:hAnsi="仿宋_GB2312" w:eastAsia="仿宋_GB2312" w:cs="仿宋_GB2312"/>
          <w:sz w:val="32"/>
          <w:szCs w:val="32"/>
        </w:rPr>
        <w:t>6</w:t>
      </w:r>
      <w:r>
        <w:rPr>
          <w:rFonts w:hint="eastAsia" w:cs="仿宋_GB2312" w:asciiTheme="minorEastAsia" w:hAnsiTheme="minorEastAsia"/>
          <w:sz w:val="32"/>
          <w:szCs w:val="32"/>
        </w:rPr>
        <w:t>）</w:t>
      </w:r>
      <w:r>
        <w:rPr>
          <w:rFonts w:hint="eastAsia" w:ascii="仿宋_GB2312" w:hAnsi="仿宋_GB2312" w:eastAsia="仿宋_GB2312" w:cs="仿宋_GB2312"/>
          <w:sz w:val="32"/>
          <w:szCs w:val="32"/>
        </w:rPr>
        <w:t>准时参加赛前领队会议，并认真传达落实会议精神，确保参赛选手准时参加各项比赛及活动。</w:t>
      </w:r>
    </w:p>
    <w:p>
      <w:pPr>
        <w:shd w:val="clear" w:color="auto" w:fill="FFFFFF"/>
        <w:adjustRightInd w:val="0"/>
        <w:snapToGrid w:val="0"/>
        <w:spacing w:line="560" w:lineRule="exact"/>
        <w:ind w:firstLine="643" w:firstLineChars="200"/>
        <w:outlineLvl w:val="1"/>
        <w:rPr>
          <w:rFonts w:hint="eastAsia" w:ascii="仿宋" w:hAnsi="仿宋" w:eastAsia="仿宋" w:cs="仿宋"/>
          <w:b/>
          <w:bCs/>
          <w:sz w:val="32"/>
          <w:szCs w:val="32"/>
          <w:shd w:val="clear" w:color="auto" w:fill="FFFFFF"/>
        </w:rPr>
      </w:pPr>
      <w:r>
        <w:rPr>
          <w:rFonts w:ascii="仿宋" w:hAnsi="仿宋" w:eastAsia="仿宋" w:cs="仿宋"/>
          <w:b/>
          <w:bCs/>
          <w:sz w:val="32"/>
          <w:szCs w:val="32"/>
          <w:shd w:val="clear" w:color="auto" w:fill="FFFFFF"/>
        </w:rPr>
        <w:t>（二）领队和指导教师须知</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各参赛代表队要发扬良好道德风尚，听从指挥，服从裁判，不弄虚作假。如发现弄虚作假者，取消参赛资格，名次无效。</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各代表队领队要坚决执行竞赛的各项规定，加强对参赛人员的管理，做好赛前准备工作，督促选手带好证件等竞赛相关材料。</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竞赛过程中，除参加当场次竞赛的选手、执行裁判员、现场工作人员和经批准的人员外，领队、指导教师及其他人员一律不得进入竞赛现场。</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参赛代表队若对竞赛过程有异议，在规定的时间内由领队向赛项监督仲裁组提出书面报告。</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对申诉的仲裁结果，领队要带头服从和执行，并做好选手工作。参赛选手不得因申诉或对处理意见不服而停止竞赛，否则以弃权处理。</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shd w:val="clear" w:color="auto" w:fill="FFFFFF"/>
        </w:rPr>
      </w:pPr>
      <w:r>
        <w:rPr>
          <w:rFonts w:hint="eastAsia" w:ascii="仿宋_GB2312" w:hAnsi="仿宋_GB2312" w:eastAsia="仿宋_GB2312" w:cs="仿宋_GB2312"/>
          <w:sz w:val="32"/>
          <w:szCs w:val="32"/>
          <w:lang w:val="zh-TW"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TW" w:eastAsia="zh-CN"/>
        </w:rPr>
        <w:t>）</w:t>
      </w:r>
      <w:r>
        <w:rPr>
          <w:rFonts w:ascii="仿宋_GB2312" w:hAnsi="仿宋_GB2312" w:eastAsia="仿宋_GB2312" w:cs="仿宋_GB2312"/>
          <w:sz w:val="32"/>
          <w:szCs w:val="32"/>
          <w:lang w:val="zh-TW"/>
        </w:rPr>
        <w:t>指导老师应及时查看大赛专用网</w:t>
      </w:r>
      <w:r>
        <w:rPr>
          <w:rFonts w:ascii="仿宋_GB2312" w:hAnsi="仿宋_GB2312" w:eastAsia="仿宋_GB2312" w:cs="仿宋_GB2312"/>
          <w:sz w:val="32"/>
          <w:szCs w:val="32"/>
        </w:rPr>
        <w:t>页有关赛项的通知和内容，认真研究和掌握本赛项竞赛的规程、技术规范和赛场要求，指导选</w:t>
      </w:r>
      <w:r>
        <w:rPr>
          <w:rFonts w:ascii="仿宋_GB2312" w:hAnsi="仿宋_GB2312" w:eastAsia="仿宋_GB2312" w:cs="仿宋_GB2312"/>
          <w:sz w:val="32"/>
          <w:szCs w:val="32"/>
          <w:lang w:val="zh-TW"/>
        </w:rPr>
        <w:t>手做好赛前的一切技术准备和竞赛准备。</w:t>
      </w:r>
    </w:p>
    <w:p>
      <w:pPr>
        <w:pStyle w:val="5"/>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560" w:lineRule="exact"/>
        <w:ind w:firstLine="643" w:firstLineChars="200"/>
        <w:textAlignment w:val="auto"/>
        <w:outlineLvl w:val="1"/>
        <w:rPr>
          <w:rFonts w:hint="eastAsia" w:ascii="仿宋" w:hAnsi="仿宋" w:eastAsia="仿宋" w:cs="仿宋"/>
          <w:b/>
          <w:bCs/>
          <w:sz w:val="32"/>
          <w:szCs w:val="32"/>
          <w:shd w:val="clear" w:color="auto" w:fill="FFFFFF"/>
        </w:rPr>
      </w:pPr>
      <w:r>
        <w:rPr>
          <w:rFonts w:ascii="仿宋" w:hAnsi="仿宋" w:eastAsia="仿宋" w:cs="仿宋"/>
          <w:b/>
          <w:bCs/>
          <w:sz w:val="32"/>
          <w:szCs w:val="32"/>
          <w:shd w:val="clear" w:color="auto" w:fill="FFFFFF"/>
        </w:rPr>
        <w:t>（三）参赛选手须知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参赛选手应按有关要求如实填报个人信息，否则取消竞赛资格。</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参赛选手凭统一印制的参赛证、有效身份证件、着大赛服装参加竞赛。</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参赛选手应认真学习领会本次竞赛相关文件，自觉遵守大赛纪律，服从指挥，听从安排，文明参赛。</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严禁参赛选手携带任何通讯设备、存储设备及其他与竞赛相关的资料与用品入场。</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参赛选手应提前15分钟抵达赛场，凭参赛证、身份证件检录，按要求入场，不得迟到早退。</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参赛选手应按抽签结果在指定位置</w:t>
      </w:r>
      <w:r>
        <w:rPr>
          <w:rFonts w:hint="eastAsia" w:ascii="仿宋_GB2312" w:hAnsi="仿宋_GB2312" w:eastAsia="仿宋_GB2312" w:cs="仿宋_GB2312"/>
          <w:sz w:val="32"/>
          <w:szCs w:val="32"/>
          <w:lang w:eastAsia="zh-CN"/>
        </w:rPr>
        <w:t>就座</w:t>
      </w:r>
      <w:r>
        <w:rPr>
          <w:rFonts w:ascii="仿宋_GB2312" w:hAnsi="仿宋_GB2312" w:eastAsia="仿宋_GB2312" w:cs="仿宋_GB2312"/>
          <w:sz w:val="32"/>
          <w:szCs w:val="32"/>
        </w:rPr>
        <w:t>。</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参赛选手须在确认竞赛内容和现场设备等无误后开始竞赛。在竞赛过程中，如有疑问，参赛选手应持“咨询”示意牌示意，裁判长应按照有关要求及时予以答疑；如遇设备或软件等故障，参赛选手应持“故障”示意牌示意，裁判长、技术人员等应及时予以解决。确因计算机软件或硬件故障，致使操作无法继续的，经裁判长确认，予以启用备用计算机；如遇身体不适，参赛选手应持“医务”示意牌示意，现场医务人员按应急预案救治。</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各参赛选手必须按规范要求操作竞赛设备。一旦出现较严重的安全事故，经裁判长批准后将立即取消其参赛资格。</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竞赛时间终了，选手应全体起立，结束操作。签字确认成绩后方可离开赛场。</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shd w:val="clear" w:color="auto" w:fill="FFFFFF"/>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在竞赛期间，未经执委会的批准，参赛选手不得接受其他单位和个人进行的与竞赛内容相关的采访。参赛选手不得将竞赛的相关信息私自公布。</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outlineLvl w:val="1"/>
        <w:rPr>
          <w:rFonts w:hint="eastAsia" w:ascii="仿宋" w:hAnsi="仿宋" w:eastAsia="仿宋" w:cs="仿宋"/>
          <w:b/>
          <w:bCs/>
          <w:sz w:val="32"/>
          <w:szCs w:val="32"/>
          <w:shd w:val="clear" w:color="auto" w:fill="FFFFFF"/>
        </w:rPr>
      </w:pPr>
      <w:r>
        <w:rPr>
          <w:rFonts w:ascii="仿宋" w:hAnsi="仿宋" w:eastAsia="仿宋" w:cs="仿宋"/>
          <w:b/>
          <w:bCs/>
          <w:sz w:val="32"/>
          <w:szCs w:val="32"/>
          <w:shd w:val="clear" w:color="auto" w:fill="FFFFFF"/>
        </w:rPr>
        <w:t>（四）工作人员须知</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工作人员必须统一佩戴由大赛组委会签发的相应证件，着装整齐。</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工作人员不得影响参赛选手比赛，不允许有影响比赛公平的行为。</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服从领导，听从指挥，以高度负责的精神、严肃认真的态度做好各项工作。</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熟悉比赛规程，认真遵守各项比赛规则和工作要求。</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坚守岗位，如有急事需要离开岗位时，应经领导同意，并做好工作衔接。</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严格遵守比赛纪律，如发现其他人员有违反比赛纪律的行为，应予以制止。情节严重的，应向竞赛组委会反映。</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发扬无私奉献和团结协作的精神，提供热情、优质服务。</w:t>
      </w:r>
    </w:p>
    <w:p>
      <w:pPr>
        <w:shd w:val="clear" w:color="auto" w:fill="FFFFFF"/>
        <w:adjustRightInd w:val="0"/>
        <w:snapToGrid w:val="0"/>
        <w:spacing w:line="560" w:lineRule="exact"/>
        <w:ind w:firstLine="640" w:firstLineChars="200"/>
        <w:outlineLvl w:val="0"/>
        <w:rPr>
          <w:rFonts w:hint="eastAsia" w:ascii="黑体" w:hAnsi="黑体" w:eastAsia="黑体" w:cs="黑体"/>
          <w:kern w:val="0"/>
          <w:sz w:val="32"/>
          <w:szCs w:val="32"/>
          <w:shd w:val="clear" w:color="auto" w:fill="FFFFFF"/>
          <w:lang w:bidi="ar"/>
        </w:rPr>
      </w:pPr>
      <w:r>
        <w:rPr>
          <w:rFonts w:ascii="黑体" w:hAnsi="黑体" w:eastAsia="黑体" w:cs="黑体"/>
          <w:kern w:val="0"/>
          <w:sz w:val="32"/>
          <w:szCs w:val="32"/>
          <w:shd w:val="clear" w:color="auto" w:fill="FFFFFF"/>
          <w:lang w:bidi="ar"/>
        </w:rPr>
        <w:t>十</w:t>
      </w:r>
      <w:r>
        <w:rPr>
          <w:rFonts w:hint="eastAsia" w:ascii="黑体" w:hAnsi="黑体" w:eastAsia="黑体" w:cs="黑体"/>
          <w:kern w:val="0"/>
          <w:sz w:val="32"/>
          <w:szCs w:val="32"/>
          <w:shd w:val="clear" w:color="auto" w:fill="FFFFFF"/>
          <w:lang w:bidi="ar"/>
        </w:rPr>
        <w:t>二</w:t>
      </w:r>
      <w:r>
        <w:rPr>
          <w:rFonts w:ascii="黑体" w:hAnsi="黑体" w:eastAsia="黑体" w:cs="黑体"/>
          <w:kern w:val="0"/>
          <w:sz w:val="32"/>
          <w:szCs w:val="32"/>
          <w:shd w:val="clear" w:color="auto" w:fill="FFFFFF"/>
          <w:lang w:bidi="ar"/>
        </w:rPr>
        <w:t>、申诉与仲裁</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比赛过程中，若出现有失公正或有关人员违规等现象，参赛学校领队可在比赛结束后</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小时之内向仲裁委员会提出加盖</w:t>
      </w:r>
      <w:r>
        <w:rPr>
          <w:rFonts w:hint="eastAsia" w:ascii="仿宋_GB2312" w:hAnsi="仿宋_GB2312" w:eastAsia="仿宋_GB2312" w:cs="仿宋_GB2312"/>
          <w:sz w:val="32"/>
          <w:szCs w:val="32"/>
          <w:highlight w:val="none"/>
        </w:rPr>
        <w:t>学校公章</w:t>
      </w:r>
      <w:r>
        <w:rPr>
          <w:rFonts w:hint="eastAsia" w:ascii="仿宋_GB2312" w:hAnsi="仿宋_GB2312" w:eastAsia="仿宋_GB2312" w:cs="仿宋_GB2312"/>
          <w:sz w:val="32"/>
          <w:szCs w:val="32"/>
        </w:rPr>
        <w:t>的书面申诉。仲裁委员会在接到申诉后立即组织复议，并及时反馈复议结果。仲裁委员会的仲裁结果为最终结果。</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3" w:firstLineChars="200"/>
        <w:textAlignment w:val="auto"/>
        <w:outlineLvl w:val="1"/>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（一）</w:t>
      </w:r>
      <w:r>
        <w:rPr>
          <w:rFonts w:ascii="仿宋" w:hAnsi="仿宋" w:eastAsia="仿宋" w:cs="仿宋"/>
          <w:b/>
          <w:bCs/>
          <w:sz w:val="32"/>
          <w:szCs w:val="32"/>
          <w:shd w:val="clear" w:color="auto" w:fill="FFFFFF"/>
        </w:rPr>
        <w:t>申诉</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ascii="仿宋_GB2312" w:hAnsi="仿宋_GB2312" w:eastAsia="仿宋_GB2312" w:cs="仿宋_GB2312"/>
          <w:kern w:val="2"/>
          <w:sz w:val="32"/>
          <w:szCs w:val="32"/>
        </w:rPr>
        <w:t>申诉范围</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各参赛团队对不符合大赛和赛项规程规定的赛场管理、成绩评定，参赛队员以及工作人员的不规范行为等，可向大赛仲裁委员会提出书面申诉。</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w:t>
      </w:r>
      <w:r>
        <w:rPr>
          <w:rFonts w:ascii="仿宋_GB2312" w:hAnsi="仿宋_GB2312" w:eastAsia="仿宋_GB2312" w:cs="仿宋_GB2312"/>
          <w:kern w:val="2"/>
          <w:sz w:val="32"/>
          <w:szCs w:val="32"/>
        </w:rPr>
        <w:t>申诉主体</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申诉主体为参赛队领队。</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w:t>
      </w:r>
      <w:r>
        <w:rPr>
          <w:rFonts w:ascii="仿宋_GB2312" w:hAnsi="仿宋_GB2312" w:eastAsia="仿宋_GB2312" w:cs="仿宋_GB2312"/>
          <w:kern w:val="2"/>
          <w:sz w:val="32"/>
          <w:szCs w:val="32"/>
        </w:rPr>
        <w:t>申诉启动与形式</w:t>
      </w:r>
    </w:p>
    <w:p>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申诉启动时，参赛团队应向大赛仲裁委员会递交领队亲笔签字同意的书面报告。书面报告应对申诉事件的现象、发生时间、涉及人员、申诉依据等进行充分、实事求是的叙述。非书面申诉不予受理。</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w:t>
      </w:r>
      <w:r>
        <w:rPr>
          <w:rFonts w:ascii="仿宋_GB2312" w:hAnsi="仿宋_GB2312" w:eastAsia="仿宋_GB2312" w:cs="仿宋_GB2312"/>
          <w:kern w:val="2"/>
          <w:sz w:val="32"/>
          <w:szCs w:val="32"/>
        </w:rPr>
        <w:t>申诉时效</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提出申诉的时间应在比赛结束后（选手赛场比赛内容全部完成）</w:t>
      </w:r>
      <w:r>
        <w:rPr>
          <w:rFonts w:hint="eastAsia" w:ascii="仿宋_GB2312" w:hAnsi="仿宋_GB2312" w:eastAsia="仿宋_GB2312" w:cs="仿宋_GB2312"/>
          <w:sz w:val="32"/>
          <w:szCs w:val="32"/>
          <w:lang w:val="en-US" w:eastAsia="zh-CN"/>
        </w:rPr>
        <w:t>24</w:t>
      </w:r>
      <w:r>
        <w:rPr>
          <w:rFonts w:ascii="仿宋_GB2312" w:hAnsi="仿宋_GB2312" w:eastAsia="仿宋_GB2312" w:cs="仿宋_GB2312"/>
          <w:sz w:val="32"/>
          <w:szCs w:val="32"/>
        </w:rPr>
        <w:t>小时内。超过时效不予受理。</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w:t>
      </w:r>
      <w:r>
        <w:rPr>
          <w:rFonts w:ascii="仿宋_GB2312" w:hAnsi="仿宋_GB2312" w:eastAsia="仿宋_GB2312" w:cs="仿宋_GB2312"/>
          <w:kern w:val="2"/>
          <w:sz w:val="32"/>
          <w:szCs w:val="32"/>
        </w:rPr>
        <w:t>申诉撤回</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申诉方可随时提出放弃</w:t>
      </w:r>
      <w:bookmarkStart w:id="2" w:name="_GoBack"/>
      <w:bookmarkEnd w:id="2"/>
      <w:r>
        <w:rPr>
          <w:rFonts w:ascii="仿宋_GB2312" w:hAnsi="仿宋_GB2312" w:eastAsia="仿宋_GB2312" w:cs="仿宋_GB2312"/>
          <w:sz w:val="32"/>
          <w:szCs w:val="32"/>
        </w:rPr>
        <w:t>申诉。</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6.</w:t>
      </w:r>
      <w:r>
        <w:rPr>
          <w:rFonts w:ascii="仿宋_GB2312" w:hAnsi="仿宋_GB2312" w:eastAsia="仿宋_GB2312" w:cs="仿宋_GB2312"/>
          <w:kern w:val="2"/>
          <w:sz w:val="32"/>
          <w:szCs w:val="32"/>
        </w:rPr>
        <w:t>申诉提交方式</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highlight w:val="none"/>
        </w:rPr>
      </w:pPr>
      <w:r>
        <w:rPr>
          <w:rFonts w:hint="eastAsia" w:ascii="仿宋_GB2312" w:hAnsi="仿宋_GB2312" w:eastAsia="仿宋_GB2312" w:cs="仿宋_GB2312"/>
          <w:sz w:val="32"/>
          <w:szCs w:val="32"/>
          <w:highlight w:val="none"/>
          <w:lang w:val="en-US" w:eastAsia="zh-CN"/>
        </w:rPr>
        <w:t>合肥大学</w:t>
      </w:r>
      <w:r>
        <w:rPr>
          <w:highlight w:val="none"/>
        </w:rPr>
        <w:fldChar w:fldCharType="begin"/>
      </w:r>
      <w:r>
        <w:rPr>
          <w:highlight w:val="none"/>
        </w:rPr>
        <w:instrText xml:space="preserve"> HYPERLINK "mailto:%E6%9C%AC%E7%A7%91%E7%BB%84%E8%B5%9B%E4%BA%8B%E7%BB%84%E5%A7%94%E4%BC%9A%E9%82%AE%E7%AE%B11365300699@qq.com" </w:instrText>
      </w:r>
      <w:r>
        <w:rPr>
          <w:highlight w:val="none"/>
        </w:rPr>
        <w:fldChar w:fldCharType="separate"/>
      </w:r>
      <w:r>
        <w:rPr>
          <w:rFonts w:hint="eastAsia" w:ascii="仿宋_GB2312" w:hAnsi="仿宋_GB2312" w:eastAsia="仿宋_GB2312" w:cs="仿宋_GB2312"/>
          <w:sz w:val="32"/>
          <w:szCs w:val="32"/>
          <w:highlight w:val="none"/>
        </w:rPr>
        <w:t>赛事组委会邮箱</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jgxyerp@hfuu.edu.cn</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安徽审计职业学院</w:t>
      </w:r>
      <w:r>
        <w:rPr>
          <w:highlight w:val="none"/>
        </w:rPr>
        <w:fldChar w:fldCharType="begin"/>
      </w:r>
      <w:r>
        <w:rPr>
          <w:highlight w:val="none"/>
        </w:rPr>
        <w:instrText xml:space="preserve"> HYPERLINK "mailto:%E6%9C%AC%E7%A7%91%E7%BB%84%E8%B5%9B%E4%BA%8B%E7%BB%84%E5%A7%94%E4%BC%9A%E9%82%AE%E7%AE%B11365300699@qq.com" </w:instrText>
      </w:r>
      <w:r>
        <w:rPr>
          <w:highlight w:val="none"/>
        </w:rPr>
        <w:fldChar w:fldCharType="separate"/>
      </w:r>
      <w:r>
        <w:rPr>
          <w:rFonts w:hint="eastAsia" w:ascii="仿宋_GB2312" w:hAnsi="仿宋_GB2312" w:eastAsia="仿宋_GB2312" w:cs="仿宋_GB2312"/>
          <w:sz w:val="32"/>
          <w:szCs w:val="32"/>
          <w:highlight w:val="none"/>
        </w:rPr>
        <w:t>赛事组委会邮箱</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：gzerpzwh@qq.com</w:t>
      </w:r>
    </w:p>
    <w:p>
      <w:pPr>
        <w:pStyle w:val="5"/>
        <w:widowControl/>
        <w:numPr>
          <w:ilvl w:val="-1"/>
          <w:numId w:val="0"/>
        </w:numPr>
        <w:adjustRightInd w:val="0"/>
        <w:snapToGrid w:val="0"/>
        <w:spacing w:beforeAutospacing="0" w:afterAutospacing="0" w:line="560" w:lineRule="exact"/>
        <w:ind w:left="0" w:firstLine="643" w:firstLineChars="200"/>
        <w:outlineLvl w:val="1"/>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w:t>
      </w:r>
      <w:r>
        <w:rPr>
          <w:rFonts w:hint="eastAsia" w:ascii="仿宋" w:hAnsi="仿宋" w:eastAsia="仿宋" w:cs="仿宋"/>
          <w:b/>
          <w:bCs/>
          <w:sz w:val="32"/>
          <w:szCs w:val="32"/>
          <w:shd w:val="clear" w:color="auto" w:fill="FFFFFF"/>
          <w:lang w:val="en-US" w:eastAsia="zh-CN"/>
        </w:rPr>
        <w:t>二</w:t>
      </w:r>
      <w:r>
        <w:rPr>
          <w:rFonts w:hint="eastAsia" w:ascii="仿宋" w:hAnsi="仿宋" w:eastAsia="仿宋" w:cs="仿宋"/>
          <w:b/>
          <w:bCs/>
          <w:sz w:val="32"/>
          <w:szCs w:val="32"/>
          <w:shd w:val="clear" w:color="auto" w:fill="FFFFFF"/>
        </w:rPr>
        <w:t>）</w:t>
      </w:r>
      <w:r>
        <w:rPr>
          <w:rFonts w:ascii="仿宋" w:hAnsi="仿宋" w:eastAsia="仿宋" w:cs="仿宋"/>
          <w:b/>
          <w:bCs/>
          <w:sz w:val="32"/>
          <w:szCs w:val="32"/>
          <w:shd w:val="clear" w:color="auto" w:fill="FFFFFF"/>
        </w:rPr>
        <w:t>仲裁</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ascii="仿宋_GB2312" w:hAnsi="仿宋_GB2312" w:eastAsia="仿宋_GB2312" w:cs="仿宋_GB2312"/>
          <w:kern w:val="2"/>
          <w:sz w:val="32"/>
          <w:szCs w:val="32"/>
        </w:rPr>
        <w:t>仲裁受理与复议</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大赛仲裁委员会在接到申诉报告后的</w:t>
      </w:r>
      <w:r>
        <w:rPr>
          <w:rFonts w:hint="eastAsia" w:ascii="仿宋_GB2312" w:hAnsi="仿宋_GB2312" w:eastAsia="仿宋_GB2312" w:cs="仿宋_GB2312"/>
          <w:sz w:val="32"/>
          <w:szCs w:val="32"/>
          <w:lang w:val="en-US" w:eastAsia="zh-CN"/>
        </w:rPr>
        <w:t>24</w:t>
      </w:r>
      <w:r>
        <w:rPr>
          <w:rFonts w:ascii="仿宋_GB2312" w:hAnsi="仿宋_GB2312" w:eastAsia="仿宋_GB2312" w:cs="仿宋_GB2312"/>
          <w:sz w:val="32"/>
          <w:szCs w:val="32"/>
        </w:rPr>
        <w:t>小时内组织复议，并及时将复议结果以书面形式告知申诉方。</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w:t>
      </w:r>
      <w:r>
        <w:rPr>
          <w:rFonts w:ascii="仿宋_GB2312" w:hAnsi="仿宋_GB2312" w:eastAsia="仿宋_GB2312" w:cs="仿宋_GB2312"/>
          <w:kern w:val="2"/>
          <w:sz w:val="32"/>
          <w:szCs w:val="32"/>
        </w:rPr>
        <w:t>仲裁结果效力</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仲裁结果为最终结果。</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w:t>
      </w:r>
      <w:r>
        <w:rPr>
          <w:rFonts w:ascii="仿宋_GB2312" w:hAnsi="仿宋_GB2312" w:eastAsia="仿宋_GB2312" w:cs="仿宋_GB2312"/>
          <w:kern w:val="2"/>
          <w:sz w:val="32"/>
          <w:szCs w:val="32"/>
        </w:rPr>
        <w:t>结果签收与约束</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仲裁结果由申诉人本人签收，不能代收。</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如在约定时间申诉人未予回应，视为自行放弃申诉。</w:t>
      </w:r>
    </w:p>
    <w:p>
      <w:pPr>
        <w:pStyle w:val="5"/>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textAlignment w:val="auto"/>
        <w:outlineLvl w:val="2"/>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w:t>
      </w:r>
      <w:r>
        <w:rPr>
          <w:rFonts w:ascii="仿宋_GB2312" w:hAnsi="仿宋_GB2312" w:eastAsia="仿宋_GB2312" w:cs="仿宋_GB2312"/>
          <w:kern w:val="2"/>
          <w:sz w:val="32"/>
          <w:szCs w:val="32"/>
        </w:rPr>
        <w:t>行为约束</w:t>
      </w:r>
    </w:p>
    <w:p>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textAlignment w:val="auto"/>
      </w:pPr>
      <w:r>
        <w:rPr>
          <w:rFonts w:ascii="仿宋_GB2312" w:hAnsi="仿宋_GB2312" w:eastAsia="仿宋_GB2312" w:cs="仿宋_GB2312"/>
          <w:sz w:val="32"/>
          <w:szCs w:val="32"/>
        </w:rPr>
        <w:t>申诉方不得以任何理由拒绝接收仲裁结果，不得以任何理由采取过激行为扰乱赛场秩序、诋毁比赛或发表不恰当的言论。</w:t>
      </w:r>
    </w:p>
    <w:p>
      <w:pPr>
        <w:widowControl/>
        <w:numPr>
          <w:ilvl w:val="0"/>
          <w:numId w:val="2"/>
        </w:numPr>
        <w:adjustRightInd w:val="0"/>
        <w:snapToGrid w:val="0"/>
        <w:spacing w:line="560" w:lineRule="exact"/>
        <w:ind w:firstLine="640" w:firstLineChars="200"/>
        <w:jc w:val="left"/>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竞赛宣传</w:t>
      </w:r>
    </w:p>
    <w:p>
      <w:pPr>
        <w:shd w:val="clear" w:color="auto" w:fill="FFFFFF"/>
        <w:adjustRightInd w:val="0"/>
        <w:snapToGrid w:val="0"/>
        <w:spacing w:line="560" w:lineRule="exact"/>
        <w:ind w:firstLine="640" w:firstLineChars="200"/>
      </w:pPr>
      <w:r>
        <w:rPr>
          <w:rFonts w:ascii="仿宋_GB2312" w:hAnsi="仿宋_GB2312" w:eastAsia="仿宋_GB2312" w:cs="仿宋_GB2312"/>
          <w:sz w:val="32"/>
          <w:szCs w:val="32"/>
        </w:rPr>
        <w:t>竞赛宣传采用“线上+线下”相结合的方式，依托学院官网、微信公众号、班级群等渠道发布赛事通知与报名信息，同步制作宣传海报及推文进行多轮推送。赛前组织宣讲会，确保参赛学生充分了解赛事规则与要求，并通过建立咨询群及时答疑，动员符合条件的团队积极报名。</w:t>
      </w:r>
    </w:p>
    <w:p>
      <w:pPr>
        <w:widowControl/>
        <w:shd w:val="clear" w:color="auto" w:fill="FFFFFF"/>
        <w:adjustRightInd w:val="0"/>
        <w:snapToGrid w:val="0"/>
        <w:spacing w:line="560" w:lineRule="exact"/>
        <w:ind w:firstLine="640" w:firstLineChars="200"/>
        <w:jc w:val="left"/>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十四、联系方式</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为促进选手交流，提高团队的整体水平，以及及时公布赛事讯息，</w:t>
      </w:r>
      <w:r>
        <w:rPr>
          <w:rFonts w:hint="eastAsia" w:ascii="仿宋_GB2312" w:hAnsi="仿宋_GB2312" w:eastAsia="仿宋_GB2312" w:cs="仿宋_GB2312"/>
          <w:sz w:val="32"/>
          <w:szCs w:val="32"/>
          <w:highlight w:val="none"/>
        </w:rPr>
        <w:t>保证大赛的顺利进行，大赛设QQ沟通群（</w:t>
      </w:r>
      <w:r>
        <w:rPr>
          <w:rFonts w:hint="eastAsia" w:ascii="仿宋_GB2312" w:hAnsi="仿宋_GB2312" w:eastAsia="仿宋_GB2312" w:cs="仿宋_GB2312"/>
          <w:sz w:val="32"/>
          <w:szCs w:val="32"/>
          <w:highlight w:val="none"/>
          <w:lang w:val="en-US" w:eastAsia="zh-CN"/>
        </w:rPr>
        <w:t>本科院校</w:t>
      </w:r>
      <w:r>
        <w:rPr>
          <w:rFonts w:hint="eastAsia" w:ascii="仿宋_GB2312" w:hAnsi="仿宋_GB2312" w:eastAsia="仿宋_GB2312" w:cs="仿宋_GB2312"/>
          <w:sz w:val="32"/>
          <w:szCs w:val="32"/>
          <w:highlight w:val="none"/>
        </w:rPr>
        <w:t>负责人沟通群：1103324203；高职</w:t>
      </w:r>
      <w:r>
        <w:rPr>
          <w:rFonts w:hint="eastAsia" w:ascii="仿宋_GB2312" w:hAnsi="仿宋_GB2312" w:eastAsia="仿宋_GB2312" w:cs="仿宋_GB2312"/>
          <w:sz w:val="32"/>
          <w:szCs w:val="32"/>
          <w:highlight w:val="none"/>
          <w:lang w:val="en-US" w:eastAsia="zh-CN"/>
        </w:rPr>
        <w:t>院校</w:t>
      </w:r>
      <w:r>
        <w:rPr>
          <w:rFonts w:hint="eastAsia" w:ascii="仿宋_GB2312" w:hAnsi="仿宋_GB2312" w:eastAsia="仿宋_GB2312" w:cs="仿宋_GB2312"/>
          <w:sz w:val="32"/>
          <w:szCs w:val="32"/>
          <w:highlight w:val="none"/>
        </w:rPr>
        <w:t>负责人沟通群：</w:t>
      </w:r>
      <w:r>
        <w:rPr>
          <w:rFonts w:hint="eastAsia" w:ascii="仿宋_GB2312" w:hAnsi="仿宋_GB2312" w:eastAsia="仿宋_GB2312" w:cs="仿宋_GB2312"/>
          <w:sz w:val="32"/>
          <w:szCs w:val="32"/>
          <w:highlight w:val="none"/>
          <w:lang w:val="en-US" w:eastAsia="zh-CN"/>
        </w:rPr>
        <w:t>691650518</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赛前的重要通知、文件及其他有关事项将在群中及时发布。请</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参赛</w:t>
      </w:r>
      <w:r>
        <w:rPr>
          <w:rFonts w:hint="eastAsia" w:ascii="仿宋_GB2312" w:hAnsi="仿宋_GB2312" w:eastAsia="仿宋_GB2312" w:cs="仿宋_GB2312"/>
          <w:sz w:val="32"/>
          <w:szCs w:val="32"/>
        </w:rPr>
        <w:t>院校确定1位安徽省大学生ERP数智化运营大赛</w:t>
      </w:r>
      <w:r>
        <w:rPr>
          <w:rFonts w:hint="eastAsia" w:ascii="仿宋_GB2312" w:hAnsi="仿宋_GB2312" w:eastAsia="仿宋_GB2312" w:cs="仿宋_GB2312"/>
          <w:sz w:val="32"/>
          <w:szCs w:val="32"/>
          <w:lang w:val="en-US" w:eastAsia="zh-CN"/>
        </w:rPr>
        <w:t>院校</w:t>
      </w:r>
      <w:r>
        <w:rPr>
          <w:rFonts w:hint="eastAsia" w:ascii="仿宋_GB2312" w:hAnsi="仿宋_GB2312" w:eastAsia="仿宋_GB2312" w:cs="仿宋_GB2312"/>
          <w:sz w:val="32"/>
          <w:szCs w:val="32"/>
        </w:rPr>
        <w:t>负责人加入负责人沟通群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进群请按照院校+真实姓名的格式实名制进群，便于赛事工作的沟通和交流。</w:t>
      </w:r>
    </w:p>
    <w:p>
      <w:pPr>
        <w:shd w:val="clear" w:color="auto" w:fill="FFFFFF"/>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合肥大学</w:t>
      </w:r>
      <w:r>
        <w:rPr>
          <w:rFonts w:ascii="仿宋_GB2312" w:hAnsi="仿宋_GB2312" w:eastAsia="仿宋_GB2312" w:cs="仿宋_GB2312"/>
          <w:sz w:val="32"/>
          <w:szCs w:val="32"/>
        </w:rPr>
        <w:t>联系人：</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杜宇：0551-62159347；</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方亚平：</w:t>
      </w:r>
      <w:r>
        <w:rPr>
          <w:rFonts w:hint="eastAsia" w:ascii="仿宋_GB2312" w:hAnsi="仿宋_GB2312" w:eastAsia="仿宋_GB2312" w:cs="仿宋_GB2312"/>
          <w:sz w:val="32"/>
          <w:szCs w:val="32"/>
          <w:highlight w:val="none"/>
        </w:rPr>
        <w:t>0551-6215934</w:t>
      </w:r>
      <w:r>
        <w:rPr>
          <w:rFonts w:ascii="仿宋_GB2312" w:hAnsi="仿宋_GB2312" w:eastAsia="仿宋_GB2312" w:cs="仿宋_GB2312"/>
          <w:sz w:val="32"/>
          <w:szCs w:val="32"/>
          <w:highlight w:val="none"/>
        </w:rPr>
        <w:t>9</w:t>
      </w:r>
      <w:r>
        <w:rPr>
          <w:rFonts w:hint="eastAsia" w:ascii="仿宋_GB2312" w:hAnsi="仿宋_GB2312" w:eastAsia="仿宋_GB2312" w:cs="仿宋_GB2312"/>
          <w:sz w:val="32"/>
          <w:szCs w:val="32"/>
          <w:lang w:val="en-US" w:eastAsia="zh-CN"/>
        </w:rPr>
        <w:t>；</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赛事组委会邮箱</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jgxyerp@hfuu.edu.cn</w:t>
      </w:r>
      <w:r>
        <w:rPr>
          <w:rFonts w:hint="eastAsia" w:ascii="仿宋_GB2312" w:hAnsi="仿宋_GB2312" w:eastAsia="仿宋_GB2312" w:cs="仿宋_GB2312"/>
          <w:sz w:val="32"/>
          <w:szCs w:val="32"/>
          <w:lang w:eastAsia="zh-CN"/>
        </w:rPr>
        <w:t>。</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安徽审计职业学院</w:t>
      </w:r>
      <w:r>
        <w:rPr>
          <w:rFonts w:ascii="仿宋_GB2312" w:hAnsi="仿宋_GB2312" w:eastAsia="仿宋_GB2312" w:cs="仿宋_GB2312"/>
          <w:sz w:val="32"/>
          <w:szCs w:val="32"/>
        </w:rPr>
        <w:t>联系人：</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万启生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0551-63617017</w:t>
      </w:r>
      <w:r>
        <w:rPr>
          <w:rFonts w:hint="eastAsia" w:ascii="仿宋_GB2312" w:hAnsi="仿宋_GB2312" w:eastAsia="仿宋_GB2312" w:cs="仿宋_GB2312"/>
          <w:sz w:val="32"/>
          <w:szCs w:val="32"/>
          <w:lang w:eastAsia="zh-CN"/>
        </w:rPr>
        <w:t>；</w:t>
      </w:r>
    </w:p>
    <w:p>
      <w:pPr>
        <w:shd w:val="clear" w:color="auto" w:fill="FFFFFF"/>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沈宇钦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0551-63617165</w:t>
      </w:r>
      <w:r>
        <w:rPr>
          <w:rFonts w:hint="eastAsia" w:ascii="仿宋_GB2312" w:hAnsi="仿宋_GB2312" w:eastAsia="仿宋_GB2312" w:cs="仿宋_GB2312"/>
          <w:sz w:val="32"/>
          <w:szCs w:val="32"/>
          <w:lang w:eastAsia="zh-CN"/>
        </w:rPr>
        <w:t>；</w:t>
      </w:r>
    </w:p>
    <w:p>
      <w:pPr>
        <w:pStyle w:val="5"/>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600" w:firstLineChars="250"/>
        <w:textAlignment w:val="auto"/>
        <w:outlineLvl w:val="2"/>
        <w:rPr>
          <w:rFonts w:hint="eastAsia" w:ascii="仿宋_GB2312" w:hAnsi="仿宋_GB2312" w:eastAsia="仿宋_GB2312" w:cs="仿宋_GB2312"/>
          <w:sz w:val="32"/>
          <w:szCs w:val="32"/>
          <w:lang w:eastAsia="zh-CN"/>
        </w:rPr>
      </w:pPr>
      <w:r>
        <w:fldChar w:fldCharType="begin"/>
      </w:r>
      <w:r>
        <w:instrText xml:space="preserve"> HYPERLINK "mailto:%E6%9C%AC%E7%A7%91%E7%BB%84%E8%B5%9B%E4%BA%8B%E7%BB%84%E5%A7%94%E4%BC%9A%E9%82%AE%E7%AE%B11365300699@qq.com" </w:instrText>
      </w:r>
      <w:r>
        <w:fldChar w:fldCharType="separate"/>
      </w:r>
      <w:r>
        <w:rPr>
          <w:rFonts w:hint="eastAsia" w:ascii="仿宋_GB2312" w:hAnsi="仿宋_GB2312" w:eastAsia="仿宋_GB2312" w:cs="仿宋_GB2312"/>
          <w:sz w:val="32"/>
          <w:szCs w:val="32"/>
        </w:rPr>
        <w:t>赛事组委会邮箱</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：gzerpzwh@qq.com</w:t>
      </w:r>
    </w:p>
    <w:p>
      <w:pPr>
        <w:shd w:val="clear" w:color="auto" w:fill="FFFFFF"/>
        <w:adjustRightInd w:val="0"/>
        <w:snapToGrid w:val="0"/>
        <w:spacing w:line="560" w:lineRule="exact"/>
        <w:ind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以上未尽事宜，解释权及修改权归大赛组委会所有。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C9CA17-A693-4825-B0F9-9D4850CCDD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BC28AAD4-22AB-40B1-9D8C-CEA237E0E41F}"/>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3" w:fontKey="{2CA65F14-AF5B-4823-87F6-70780214D530}"/>
  </w:font>
  <w:font w:name="方正小标宋简体">
    <w:panose1 w:val="03000509000000000000"/>
    <w:charset w:val="86"/>
    <w:family w:val="auto"/>
    <w:pitch w:val="default"/>
    <w:sig w:usb0="00000001" w:usb1="080E0000" w:usb2="00000000" w:usb3="00000000" w:csb0="00040000" w:csb1="00000000"/>
    <w:embedRegular r:id="rId4" w:fontKey="{B5393C77-2289-4B2D-A97C-CD6A8B734583}"/>
  </w:font>
  <w:font w:name="微软雅黑">
    <w:panose1 w:val="020B0503020204020204"/>
    <w:charset w:val="86"/>
    <w:family w:val="swiss"/>
    <w:pitch w:val="default"/>
    <w:sig w:usb0="80000287" w:usb1="2ACF3C50" w:usb2="00000016" w:usb3="00000000" w:csb0="0004001F" w:csb1="00000000"/>
    <w:embedRegular r:id="rId5" w:fontKey="{C2A8C48F-ED93-444A-A9A5-69DF223CB502}"/>
  </w:font>
  <w:font w:name="Microsoft YaHei UI">
    <w:panose1 w:val="020B0503020204020204"/>
    <w:charset w:val="86"/>
    <w:family w:val="swiss"/>
    <w:pitch w:val="default"/>
    <w:sig w:usb0="80000287" w:usb1="2ACF3C50" w:usb2="00000016" w:usb3="00000000" w:csb0="0004001F" w:csb1="00000000"/>
    <w:embedRegular r:id="rId6" w:fontKey="{2693A78D-4EF1-4878-8CEA-E3B252ECB4D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5C6438"/>
    <w:multiLevelType w:val="singleLevel"/>
    <w:tmpl w:val="B85C6438"/>
    <w:lvl w:ilvl="0" w:tentative="0">
      <w:start w:val="8"/>
      <w:numFmt w:val="chineseCounting"/>
      <w:suff w:val="nothing"/>
      <w:lvlText w:val="%1、"/>
      <w:lvlJc w:val="left"/>
      <w:rPr>
        <w:rFonts w:hint="eastAsia"/>
      </w:rPr>
    </w:lvl>
  </w:abstractNum>
  <w:abstractNum w:abstractNumId="1">
    <w:nsid w:val="D6F7FB44"/>
    <w:multiLevelType w:val="singleLevel"/>
    <w:tmpl w:val="D6F7FB44"/>
    <w:lvl w:ilvl="0" w:tentative="0">
      <w:start w:val="1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jY4YzJlYmM1N2Y1MDYyY2Y1OTI1OTlmYTMwYjMifQ=="/>
  </w:docVars>
  <w:rsids>
    <w:rsidRoot w:val="00823FE8"/>
    <w:rsid w:val="00003A0C"/>
    <w:rsid w:val="00077CAE"/>
    <w:rsid w:val="0010681B"/>
    <w:rsid w:val="0016176A"/>
    <w:rsid w:val="001B1BBC"/>
    <w:rsid w:val="00295E7C"/>
    <w:rsid w:val="00333A38"/>
    <w:rsid w:val="003431FE"/>
    <w:rsid w:val="00532E9A"/>
    <w:rsid w:val="00575F72"/>
    <w:rsid w:val="00613882"/>
    <w:rsid w:val="006830D8"/>
    <w:rsid w:val="00715426"/>
    <w:rsid w:val="007822B1"/>
    <w:rsid w:val="007D6D62"/>
    <w:rsid w:val="00823FE8"/>
    <w:rsid w:val="008716D3"/>
    <w:rsid w:val="00875EE4"/>
    <w:rsid w:val="008F6805"/>
    <w:rsid w:val="0095604A"/>
    <w:rsid w:val="00A03645"/>
    <w:rsid w:val="00B075E0"/>
    <w:rsid w:val="00B27DB9"/>
    <w:rsid w:val="00CC3280"/>
    <w:rsid w:val="00CE3674"/>
    <w:rsid w:val="00D324BE"/>
    <w:rsid w:val="00EA45DF"/>
    <w:rsid w:val="00EC5DFF"/>
    <w:rsid w:val="00F8255E"/>
    <w:rsid w:val="00FA4A51"/>
    <w:rsid w:val="020436FA"/>
    <w:rsid w:val="0241242E"/>
    <w:rsid w:val="02516A62"/>
    <w:rsid w:val="026747BD"/>
    <w:rsid w:val="02DB242E"/>
    <w:rsid w:val="03393CA4"/>
    <w:rsid w:val="03456EEA"/>
    <w:rsid w:val="035B3DB9"/>
    <w:rsid w:val="03BB21D9"/>
    <w:rsid w:val="03C350C4"/>
    <w:rsid w:val="045D2E23"/>
    <w:rsid w:val="04814D63"/>
    <w:rsid w:val="04C256F2"/>
    <w:rsid w:val="0574773F"/>
    <w:rsid w:val="062F07EF"/>
    <w:rsid w:val="063A78C0"/>
    <w:rsid w:val="069A65B0"/>
    <w:rsid w:val="06C54CB0"/>
    <w:rsid w:val="07097292"/>
    <w:rsid w:val="076A28C3"/>
    <w:rsid w:val="07936D57"/>
    <w:rsid w:val="07E6469F"/>
    <w:rsid w:val="08610146"/>
    <w:rsid w:val="08FA1862"/>
    <w:rsid w:val="0935598B"/>
    <w:rsid w:val="098C163D"/>
    <w:rsid w:val="09AD0696"/>
    <w:rsid w:val="0BF24799"/>
    <w:rsid w:val="0C2B3807"/>
    <w:rsid w:val="0C364685"/>
    <w:rsid w:val="0C566AD6"/>
    <w:rsid w:val="0C981B18"/>
    <w:rsid w:val="0E8326A4"/>
    <w:rsid w:val="0EF56A7A"/>
    <w:rsid w:val="0F36499C"/>
    <w:rsid w:val="0FB81E70"/>
    <w:rsid w:val="0FD71E52"/>
    <w:rsid w:val="0FF52AA9"/>
    <w:rsid w:val="100C7E2C"/>
    <w:rsid w:val="103F0C13"/>
    <w:rsid w:val="10FB57C6"/>
    <w:rsid w:val="110E5BD1"/>
    <w:rsid w:val="11517B3E"/>
    <w:rsid w:val="11CD06B9"/>
    <w:rsid w:val="12624518"/>
    <w:rsid w:val="12B02035"/>
    <w:rsid w:val="13605BDE"/>
    <w:rsid w:val="139C4BA9"/>
    <w:rsid w:val="16152DEC"/>
    <w:rsid w:val="162D716D"/>
    <w:rsid w:val="16392EBF"/>
    <w:rsid w:val="16420C51"/>
    <w:rsid w:val="167656FD"/>
    <w:rsid w:val="17920BDE"/>
    <w:rsid w:val="18BF1EA7"/>
    <w:rsid w:val="18E30B32"/>
    <w:rsid w:val="1AF03371"/>
    <w:rsid w:val="1B793BA7"/>
    <w:rsid w:val="1BBF3662"/>
    <w:rsid w:val="1C1B3898"/>
    <w:rsid w:val="1C860706"/>
    <w:rsid w:val="1CCA3D1E"/>
    <w:rsid w:val="1CFD4445"/>
    <w:rsid w:val="1D6F2F62"/>
    <w:rsid w:val="1F643D0D"/>
    <w:rsid w:val="1FA0658E"/>
    <w:rsid w:val="1FCC600D"/>
    <w:rsid w:val="1FF365E3"/>
    <w:rsid w:val="20097E44"/>
    <w:rsid w:val="20282B52"/>
    <w:rsid w:val="20355EF4"/>
    <w:rsid w:val="206375BB"/>
    <w:rsid w:val="2084558F"/>
    <w:rsid w:val="208B4267"/>
    <w:rsid w:val="21ED1832"/>
    <w:rsid w:val="21F8706C"/>
    <w:rsid w:val="22B429FB"/>
    <w:rsid w:val="22CC49F4"/>
    <w:rsid w:val="23F6784B"/>
    <w:rsid w:val="246456B0"/>
    <w:rsid w:val="249016E6"/>
    <w:rsid w:val="25D33A65"/>
    <w:rsid w:val="25DF10AE"/>
    <w:rsid w:val="26431956"/>
    <w:rsid w:val="264A0550"/>
    <w:rsid w:val="267F42C7"/>
    <w:rsid w:val="269E759F"/>
    <w:rsid w:val="26D9142C"/>
    <w:rsid w:val="273D7068"/>
    <w:rsid w:val="287C6359"/>
    <w:rsid w:val="29541522"/>
    <w:rsid w:val="299023C6"/>
    <w:rsid w:val="29ED6EA3"/>
    <w:rsid w:val="2AA90D02"/>
    <w:rsid w:val="2B6A19C9"/>
    <w:rsid w:val="2B8444AA"/>
    <w:rsid w:val="2C117794"/>
    <w:rsid w:val="2CC6515A"/>
    <w:rsid w:val="2D4F33A1"/>
    <w:rsid w:val="2D6642A6"/>
    <w:rsid w:val="2D6D7CCB"/>
    <w:rsid w:val="2D8D27D5"/>
    <w:rsid w:val="2EDF0BF9"/>
    <w:rsid w:val="2F2B0478"/>
    <w:rsid w:val="2F395375"/>
    <w:rsid w:val="2F436F36"/>
    <w:rsid w:val="2F4B5DEA"/>
    <w:rsid w:val="2F8758D1"/>
    <w:rsid w:val="2FF426C3"/>
    <w:rsid w:val="2FFF0FB6"/>
    <w:rsid w:val="317D7B68"/>
    <w:rsid w:val="324E00CB"/>
    <w:rsid w:val="32B37F2E"/>
    <w:rsid w:val="33082597"/>
    <w:rsid w:val="33D97E69"/>
    <w:rsid w:val="354D6564"/>
    <w:rsid w:val="35664722"/>
    <w:rsid w:val="364F18A8"/>
    <w:rsid w:val="36F8344F"/>
    <w:rsid w:val="3701671F"/>
    <w:rsid w:val="379854B1"/>
    <w:rsid w:val="38550CF9"/>
    <w:rsid w:val="387A7688"/>
    <w:rsid w:val="38EC3C9B"/>
    <w:rsid w:val="3A3B7894"/>
    <w:rsid w:val="3A77118B"/>
    <w:rsid w:val="3BB05953"/>
    <w:rsid w:val="3D0D04B9"/>
    <w:rsid w:val="3E442D07"/>
    <w:rsid w:val="3E672DE5"/>
    <w:rsid w:val="3E7A2248"/>
    <w:rsid w:val="3E83433A"/>
    <w:rsid w:val="3F3FF00E"/>
    <w:rsid w:val="3F4A6541"/>
    <w:rsid w:val="3F55F41B"/>
    <w:rsid w:val="3FFCC090"/>
    <w:rsid w:val="403768E5"/>
    <w:rsid w:val="406B1A44"/>
    <w:rsid w:val="41073A1F"/>
    <w:rsid w:val="411617D6"/>
    <w:rsid w:val="419453CF"/>
    <w:rsid w:val="43E91A02"/>
    <w:rsid w:val="45C53562"/>
    <w:rsid w:val="45E17AED"/>
    <w:rsid w:val="45EC7588"/>
    <w:rsid w:val="46571E12"/>
    <w:rsid w:val="4667182B"/>
    <w:rsid w:val="468E6050"/>
    <w:rsid w:val="46AC5600"/>
    <w:rsid w:val="473645A0"/>
    <w:rsid w:val="475303D3"/>
    <w:rsid w:val="47DE63B3"/>
    <w:rsid w:val="488C4626"/>
    <w:rsid w:val="48AA1E72"/>
    <w:rsid w:val="48DC4439"/>
    <w:rsid w:val="49092D04"/>
    <w:rsid w:val="49DC7913"/>
    <w:rsid w:val="4AEE0EBC"/>
    <w:rsid w:val="4B0233A9"/>
    <w:rsid w:val="4B3D2633"/>
    <w:rsid w:val="4BB02E05"/>
    <w:rsid w:val="4DAE5A6A"/>
    <w:rsid w:val="4DCA7004"/>
    <w:rsid w:val="4E2646EA"/>
    <w:rsid w:val="4E712D20"/>
    <w:rsid w:val="4F8B6063"/>
    <w:rsid w:val="50070C2F"/>
    <w:rsid w:val="506765BF"/>
    <w:rsid w:val="50D43E40"/>
    <w:rsid w:val="52394EE7"/>
    <w:rsid w:val="5352679A"/>
    <w:rsid w:val="5359464E"/>
    <w:rsid w:val="53800565"/>
    <w:rsid w:val="544A2D9F"/>
    <w:rsid w:val="54D7233D"/>
    <w:rsid w:val="557F093B"/>
    <w:rsid w:val="56764E0B"/>
    <w:rsid w:val="56DB78D0"/>
    <w:rsid w:val="579A6BB1"/>
    <w:rsid w:val="580D20AF"/>
    <w:rsid w:val="58C12AF6"/>
    <w:rsid w:val="597D0BDA"/>
    <w:rsid w:val="59A33FA9"/>
    <w:rsid w:val="5A325AE5"/>
    <w:rsid w:val="5A54074B"/>
    <w:rsid w:val="5B7E2F26"/>
    <w:rsid w:val="5C1A497B"/>
    <w:rsid w:val="5C6F40F8"/>
    <w:rsid w:val="5C8210D4"/>
    <w:rsid w:val="5D2A6D77"/>
    <w:rsid w:val="5D5F5CF1"/>
    <w:rsid w:val="5D786A92"/>
    <w:rsid w:val="5D873CCE"/>
    <w:rsid w:val="5DA60D36"/>
    <w:rsid w:val="5E420235"/>
    <w:rsid w:val="5EBA6E39"/>
    <w:rsid w:val="5EE7CDF4"/>
    <w:rsid w:val="5F020C64"/>
    <w:rsid w:val="5FCD1D80"/>
    <w:rsid w:val="5FD92C57"/>
    <w:rsid w:val="5FE00DB4"/>
    <w:rsid w:val="618647BD"/>
    <w:rsid w:val="62754BF0"/>
    <w:rsid w:val="62BB4881"/>
    <w:rsid w:val="632B7B8E"/>
    <w:rsid w:val="632C4B23"/>
    <w:rsid w:val="639F57E1"/>
    <w:rsid w:val="644663E9"/>
    <w:rsid w:val="64933702"/>
    <w:rsid w:val="656E0241"/>
    <w:rsid w:val="65F23162"/>
    <w:rsid w:val="66310536"/>
    <w:rsid w:val="66343591"/>
    <w:rsid w:val="663E515C"/>
    <w:rsid w:val="664834BA"/>
    <w:rsid w:val="666E5281"/>
    <w:rsid w:val="667061E1"/>
    <w:rsid w:val="668A19DC"/>
    <w:rsid w:val="66CC2611"/>
    <w:rsid w:val="66E25DA3"/>
    <w:rsid w:val="66F1C965"/>
    <w:rsid w:val="670B048A"/>
    <w:rsid w:val="67386679"/>
    <w:rsid w:val="67EA6A44"/>
    <w:rsid w:val="683F73B3"/>
    <w:rsid w:val="684B03AB"/>
    <w:rsid w:val="68C161FA"/>
    <w:rsid w:val="69931E41"/>
    <w:rsid w:val="69E94716"/>
    <w:rsid w:val="6A0E4705"/>
    <w:rsid w:val="6B086362"/>
    <w:rsid w:val="6B364A70"/>
    <w:rsid w:val="6BF52213"/>
    <w:rsid w:val="6C493E0D"/>
    <w:rsid w:val="6C7E64E4"/>
    <w:rsid w:val="6D090170"/>
    <w:rsid w:val="6D5E317C"/>
    <w:rsid w:val="6DDE33AA"/>
    <w:rsid w:val="6E341855"/>
    <w:rsid w:val="6E580E15"/>
    <w:rsid w:val="6EAC6A24"/>
    <w:rsid w:val="6EC14FC1"/>
    <w:rsid w:val="6ED15CEF"/>
    <w:rsid w:val="6F523299"/>
    <w:rsid w:val="6F7E041A"/>
    <w:rsid w:val="6F9B2DB2"/>
    <w:rsid w:val="6F9F4005"/>
    <w:rsid w:val="6FBB2BF0"/>
    <w:rsid w:val="706701B3"/>
    <w:rsid w:val="70AD6293"/>
    <w:rsid w:val="715F5091"/>
    <w:rsid w:val="716F9005"/>
    <w:rsid w:val="71BF242C"/>
    <w:rsid w:val="72982E82"/>
    <w:rsid w:val="72A6316E"/>
    <w:rsid w:val="72D90CC3"/>
    <w:rsid w:val="73166260"/>
    <w:rsid w:val="739D4628"/>
    <w:rsid w:val="73A25E44"/>
    <w:rsid w:val="74B12706"/>
    <w:rsid w:val="75A37343"/>
    <w:rsid w:val="75A51A61"/>
    <w:rsid w:val="764C0B96"/>
    <w:rsid w:val="76DA3B4F"/>
    <w:rsid w:val="76F24B43"/>
    <w:rsid w:val="77BD7908"/>
    <w:rsid w:val="77F12FB3"/>
    <w:rsid w:val="782146A4"/>
    <w:rsid w:val="78E7D5C5"/>
    <w:rsid w:val="78EF49D9"/>
    <w:rsid w:val="7975087C"/>
    <w:rsid w:val="79FE1239"/>
    <w:rsid w:val="7A9C2623"/>
    <w:rsid w:val="7B6E49AE"/>
    <w:rsid w:val="7B7EAABD"/>
    <w:rsid w:val="7B8C7756"/>
    <w:rsid w:val="7BDBD99A"/>
    <w:rsid w:val="7BF25034"/>
    <w:rsid w:val="7BFC600F"/>
    <w:rsid w:val="7C517901"/>
    <w:rsid w:val="7D9944C9"/>
    <w:rsid w:val="7DBD2E11"/>
    <w:rsid w:val="7EE9381E"/>
    <w:rsid w:val="7EF24F07"/>
    <w:rsid w:val="7F6D078B"/>
    <w:rsid w:val="7F9FA5E5"/>
    <w:rsid w:val="7FB57401"/>
    <w:rsid w:val="7FBC0AE6"/>
    <w:rsid w:val="7FD3D749"/>
    <w:rsid w:val="AF7700FC"/>
    <w:rsid w:val="B7BE4359"/>
    <w:rsid w:val="B7EBFF08"/>
    <w:rsid w:val="BBAED7A1"/>
    <w:rsid w:val="BD05A8F5"/>
    <w:rsid w:val="BEDFAE37"/>
    <w:rsid w:val="D5FD09B3"/>
    <w:rsid w:val="DFBD1BDB"/>
    <w:rsid w:val="E7EDE0F3"/>
    <w:rsid w:val="EBB98E36"/>
    <w:rsid w:val="EFFDCA70"/>
    <w:rsid w:val="EFFFF0C2"/>
    <w:rsid w:val="F37F4052"/>
    <w:rsid w:val="F6FE9C56"/>
    <w:rsid w:val="F9E5C3EC"/>
    <w:rsid w:val="FAF3FF02"/>
    <w:rsid w:val="FDEF3D03"/>
    <w:rsid w:val="FFB99041"/>
    <w:rsid w:val="FFE781F8"/>
    <w:rsid w:val="FFFFD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pPr>
      <w:spacing w:before="175"/>
      <w:ind w:left="1040" w:firstLine="600"/>
    </w:pPr>
    <w:rPr>
      <w:rFonts w:ascii="仿宋" w:hAnsi="仿宋" w:eastAsia="仿宋" w:cs="仿宋"/>
      <w:sz w:val="30"/>
      <w:szCs w:val="30"/>
      <w:lang w:val="zh-CN" w:bidi="zh-CN"/>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w:basedOn w:val="4"/>
    <w:qFormat/>
    <w:uiPriority w:val="0"/>
    <w:pPr>
      <w:spacing w:line="560" w:lineRule="exact"/>
      <w:ind w:firstLine="721" w:firstLineChars="200"/>
    </w:pPr>
    <w:rPr>
      <w:rFonts w:ascii="Calibri"/>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bCs/>
    </w:rPr>
  </w:style>
  <w:style w:type="character" w:styleId="11">
    <w:name w:val="FollowedHyperlink"/>
    <w:basedOn w:val="9"/>
    <w:qFormat/>
    <w:uiPriority w:val="0"/>
    <w:rPr>
      <w:color w:val="333333"/>
      <w:u w:val="none"/>
    </w:rPr>
  </w:style>
  <w:style w:type="character" w:styleId="12">
    <w:name w:val="HTML Definition"/>
    <w:basedOn w:val="9"/>
    <w:qFormat/>
    <w:uiPriority w:val="0"/>
    <w:rPr>
      <w:i/>
      <w:iCs/>
    </w:rPr>
  </w:style>
  <w:style w:type="character" w:styleId="13">
    <w:name w:val="HTML Acronym"/>
    <w:basedOn w:val="9"/>
    <w:qFormat/>
    <w:uiPriority w:val="0"/>
  </w:style>
  <w:style w:type="character" w:styleId="14">
    <w:name w:val="Hyperlink"/>
    <w:basedOn w:val="9"/>
    <w:qFormat/>
    <w:uiPriority w:val="0"/>
    <w:rPr>
      <w:color w:val="333333"/>
      <w:u w:val="none"/>
    </w:rPr>
  </w:style>
  <w:style w:type="character" w:styleId="15">
    <w:name w:val="HTML Code"/>
    <w:basedOn w:val="9"/>
    <w:qFormat/>
    <w:uiPriority w:val="0"/>
    <w:rPr>
      <w:rFonts w:hint="default" w:ascii="monospace" w:hAnsi="monospace" w:eastAsia="monospace" w:cs="monospace"/>
      <w:sz w:val="21"/>
      <w:szCs w:val="21"/>
    </w:rPr>
  </w:style>
  <w:style w:type="character" w:styleId="16">
    <w:name w:val="HTML Keyboard"/>
    <w:basedOn w:val="9"/>
    <w:qFormat/>
    <w:uiPriority w:val="0"/>
    <w:rPr>
      <w:rFonts w:hint="default" w:ascii="monospace" w:hAnsi="monospace" w:eastAsia="monospace" w:cs="monospace"/>
      <w:sz w:val="21"/>
      <w:szCs w:val="21"/>
    </w:rPr>
  </w:style>
  <w:style w:type="character" w:styleId="17">
    <w:name w:val="HTML Sample"/>
    <w:basedOn w:val="9"/>
    <w:qFormat/>
    <w:uiPriority w:val="0"/>
    <w:rPr>
      <w:rFonts w:ascii="monospace" w:hAnsi="monospace" w:eastAsia="monospace" w:cs="monospace"/>
      <w:sz w:val="21"/>
      <w:szCs w:val="21"/>
    </w:rPr>
  </w:style>
  <w:style w:type="character" w:customStyle="1" w:styleId="18">
    <w:name w:val="msg-box6"/>
    <w:basedOn w:val="9"/>
    <w:qFormat/>
    <w:uiPriority w:val="0"/>
  </w:style>
  <w:style w:type="character" w:customStyle="1" w:styleId="19">
    <w:name w:val="left"/>
    <w:basedOn w:val="9"/>
    <w:qFormat/>
    <w:uiPriority w:val="0"/>
  </w:style>
  <w:style w:type="character" w:customStyle="1" w:styleId="20">
    <w:name w:val="c2"/>
    <w:basedOn w:val="9"/>
    <w:qFormat/>
    <w:uiPriority w:val="0"/>
  </w:style>
  <w:style w:type="character" w:customStyle="1" w:styleId="21">
    <w:name w:val="buvis"/>
    <w:basedOn w:val="9"/>
    <w:qFormat/>
    <w:uiPriority w:val="0"/>
    <w:rPr>
      <w:color w:val="999999"/>
    </w:rPr>
  </w:style>
  <w:style w:type="character" w:customStyle="1" w:styleId="22">
    <w:name w:val="buvis1"/>
    <w:basedOn w:val="9"/>
    <w:qFormat/>
    <w:uiPriority w:val="0"/>
    <w:rPr>
      <w:color w:val="CC0000"/>
    </w:rPr>
  </w:style>
  <w:style w:type="character" w:customStyle="1" w:styleId="23">
    <w:name w:val="c3"/>
    <w:basedOn w:val="9"/>
    <w:qFormat/>
    <w:uiPriority w:val="0"/>
  </w:style>
  <w:style w:type="character" w:customStyle="1" w:styleId="24">
    <w:name w:val="tit42"/>
    <w:basedOn w:val="9"/>
    <w:qFormat/>
    <w:uiPriority w:val="0"/>
    <w:rPr>
      <w:b/>
      <w:bCs/>
      <w:color w:val="333333"/>
      <w:sz w:val="24"/>
      <w:szCs w:val="24"/>
    </w:rPr>
  </w:style>
  <w:style w:type="character" w:customStyle="1" w:styleId="25">
    <w:name w:val="c1"/>
    <w:basedOn w:val="9"/>
    <w:qFormat/>
    <w:uiPriority w:val="0"/>
  </w:style>
  <w:style w:type="character" w:customStyle="1" w:styleId="26">
    <w:name w:val="tit"/>
    <w:basedOn w:val="9"/>
    <w:qFormat/>
    <w:uiPriority w:val="0"/>
    <w:rPr>
      <w:b/>
      <w:bCs/>
      <w:color w:val="333333"/>
      <w:sz w:val="24"/>
      <w:szCs w:val="24"/>
    </w:rPr>
  </w:style>
  <w:style w:type="paragraph" w:customStyle="1" w:styleId="27">
    <w:name w:val="Table Text"/>
    <w:basedOn w:val="1"/>
    <w:semiHidden/>
    <w:qFormat/>
    <w:uiPriority w:val="0"/>
    <w:rPr>
      <w:rFonts w:ascii="仿宋" w:hAnsi="仿宋" w:eastAsia="仿宋" w:cs="仿宋"/>
      <w:sz w:val="24"/>
      <w:lang w:eastAsia="en-US"/>
    </w:rPr>
  </w:style>
  <w:style w:type="paragraph" w:customStyle="1" w:styleId="28">
    <w:name w:val="5-内文"/>
    <w:basedOn w:val="1"/>
    <w:qFormat/>
    <w:uiPriority w:val="0"/>
    <w:pPr>
      <w:spacing w:beforeLines="25" w:afterLines="25" w:line="300" w:lineRule="auto"/>
      <w:ind w:firstLine="200" w:firstLineChars="200"/>
    </w:pPr>
    <w:rPr>
      <w:rFonts w:ascii="Times New Roman" w:hAnsi="Times New Roman" w:eastAsia="仿宋_GB2312"/>
      <w:sz w:val="28"/>
      <w:szCs w:val="20"/>
    </w:rPr>
  </w:style>
  <w:style w:type="table" w:customStyle="1" w:styleId="29">
    <w:name w:val="TableGrid"/>
    <w:qFormat/>
    <w:uiPriority w:val="0"/>
    <w:tblPr>
      <w:tblCellMar>
        <w:top w:w="0" w:type="dxa"/>
        <w:left w:w="0" w:type="dxa"/>
        <w:bottom w:w="0" w:type="dxa"/>
        <w:right w:w="0" w:type="dxa"/>
      </w:tblCellMar>
    </w:tblPr>
  </w:style>
  <w:style w:type="paragraph" w:customStyle="1" w:styleId="30">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1">
    <w:name w:val="无"/>
    <w:qFormat/>
    <w:uiPriority w:val="0"/>
  </w:style>
  <w:style w:type="paragraph" w:styleId="3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2.xml><?xml version="1.0" encoding="utf-8"?>
<contractReview xmlns="http://schemas.wps.cn/vas-ai-hub/contract-review">
  <reviewItems>
    <reviewItem>
      <errorID>6ac707ed-7c31-481a-9337-417f8d4b91f0</errorID>
      <errorWord>建为核心理念</errorWord>
      <group>L1_AI</group>
      <groupName>深度校对</groupName>
      <ability>L2_AI_Grammar</ability>
      <abilityName>语法纠错</abilityName>
      <candidateList>
        <item>建</item>
      </candidateList>
      <explain/>
      <paraID>  D40B2B</paraID>
      <start>56</start>
      <end>62</end>
      <status>ignored</status>
      <modifiedWord/>
      <trackRevisions>false</trackRevisions>
    </reviewItem>
    <reviewItem>
      <errorID>3a357f03-0413-48d0-bdb3-422c20dd5b69</errorID>
      <errorWord>双碳</errorWord>
      <group>L1_Political</group>
      <groupName>政治性问题</groupName>
      <ability>L2_Keyword</ability>
      <abilityName>固定表述</abilityName>
      <candidateList>
        <item>“双碳”</item>
      </candidateList>
      <explain>注意检查当前固定表述标点是否使用规范。</explain>
      <paraID> 23669B4</paraID>
      <start>23</start>
      <end>25</end>
      <status>ignored</status>
      <modifiedWord/>
      <trackRevisions>false</trackRevisions>
    </reviewItem>
    <reviewItem>
      <errorID>86329cd7-7743-4fd2-ade6-cfdb81df981e</errorID>
      <errorWord>双碳</errorWord>
      <group>L1_Political</group>
      <groupName>政治性问题</groupName>
      <ability>L2_Keyword</ability>
      <abilityName>固定表述</abilityName>
      <candidateList>
        <item>“双碳”</item>
      </candidateList>
      <explain>注意检查当前固定表述标点是否使用规范。</explain>
      <paraID>3B0FF742</paraID>
      <start>25</start>
      <end>27</end>
      <status>ignored</status>
      <modifiedWord/>
      <trackRevisions>false</trackRevisions>
    </reviewItem>
    <reviewItem>
      <errorID>f1b08832-9062-4422-87d0-0db8d00acf65</errorID>
      <errorWord>运营</errorWord>
      <group>L1_AI</group>
      <groupName>深度校对</groupName>
      <ability>L2_AI_Grammar</ability>
      <abilityName>语法纠错</abilityName>
      <candidateList>
        <item>以及运营</item>
      </candidateList>
      <explain/>
      <paraID>56717952</paraID>
      <start>187</start>
      <end>189</end>
      <status>ignored</status>
      <modifiedWord/>
      <trackRevisions>false</trackRevisions>
    </reviewItem>
    <reviewItem>
      <errorID>82a7651c-3b30-4a5b-aee4-754897fdf77b</errorID>
      <errorWord>，</errorWord>
      <group>L1_AI</group>
      <groupName>深度校对</groupName>
      <ability>L2_AI_Punc</ability>
      <abilityName>标点纠错</abilityName>
      <candidateList>
        <item>；</item>
      </candidateList>
      <explain/>
      <paraID>56717952</paraID>
      <start>217</start>
      <end>218</end>
      <status>ignored</status>
      <modifiedWord/>
      <trackRevisions>false</trackRevisions>
    </reviewItem>
    <reviewItem>
      <errorID>0e4ffb52-25a4-4254-9e3e-1d6d70a30227</errorID>
      <errorWord>。</errorWord>
      <group>L1_AI</group>
      <groupName>深度校对</groupName>
      <ability>L2_AI_Punc</ability>
      <abilityName>标点纠错</abilityName>
      <candidateList>
        <item>；</item>
      </candidateList>
      <explain/>
      <paraID>3AC4747B</paraID>
      <start>37</start>
      <end>38</end>
      <status>ignored</status>
      <modifiedWord/>
      <trackRevisions>false</trackRevisions>
    </reviewItem>
    <reviewItem>
      <errorID>40499e0b-8c43-4c7b-b174-c217cc6fe326</errorID>
      <errorWord>双碳</errorWord>
      <group>L1_Political</group>
      <groupName>政治性问题</groupName>
      <ability>L2_Keyword</ability>
      <abilityName>固定表述</abilityName>
      <candidateList>
        <item>“双碳”</item>
      </candidateList>
      <explain>注意检查当前固定表述标点是否使用规范。</explain>
      <paraID> E53ECF5</paraID>
      <start>3</start>
      <end>5</end>
      <status>ignored</status>
      <modifiedWord/>
      <trackRevisions>false</trackRevisions>
    </reviewItem>
    <reviewItem>
      <errorID>43b3f987-122b-4dbf-bc07-51041e64f002</errorID>
      <errorWord>双碳</errorWord>
      <group>L1_Political</group>
      <groupName>政治性问题</groupName>
      <ability>L2_Keyword</ability>
      <abilityName>固定表述</abilityName>
      <candidateList>
        <item>“双碳”</item>
      </candidateList>
      <explain>注意检查当前固定表述标点是否使用规范。</explain>
      <paraID>570B8F41</paraID>
      <start>0</start>
      <end>2</end>
      <status>ignored</status>
      <modifiedWord/>
      <trackRevisions>false</trackRevisions>
    </reviewItem>
    <reviewItem>
      <errorID>86842318-8b7a-42df-8d7d-f7288275a612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570B8F41</paraID>
      <start>90</start>
      <end>93</end>
      <status>ignored</status>
      <modifiedWord/>
      <trackRevisions>false</trackRevisions>
    </reviewItem>
    <reviewItem>
      <errorID>17e3c41d-c69b-4aeb-8349-c8b798f282a1</errorID>
      <errorWord>双碳</errorWord>
      <group>L1_Political</group>
      <groupName>政治性问题</groupName>
      <ability>L2_Keyword</ability>
      <abilityName>固定表述</abilityName>
      <candidateList>
        <item>“双碳”</item>
      </candidateList>
      <explain>注意检查当前固定表述标点是否使用规范。</explain>
      <paraID>2F9EAD02</paraID>
      <start>7</start>
      <end>9</end>
      <status>ignored</status>
      <modifiedWord/>
      <trackRevisions>false</trackRevisions>
    </reviewItem>
    <reviewItem>
      <errorID>05dadcc6-4cd1-48da-8caa-84d60644c2a3</errorID>
      <errorWord>未破产的、以</errorWord>
      <group>L1_AI</group>
      <groupName>深度校对</groupName>
      <ability>L2_AI_Word</ability>
      <abilityName>字词纠错</abilityName>
      <candidateList>
        <item>以未破产的、</item>
      </candidateList>
      <explain/>
      <paraID>35C85EC1</paraID>
      <start>48</start>
      <end>54</end>
      <status>ignored</status>
      <modifiedWord/>
      <trackRevisions>false</trackRevisions>
    </reviewItem>
    <reviewItem>
      <errorID>cc27e6da-2db3-47ea-969c-161176cbf588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9B95338</paraID>
      <start>99</start>
      <end>102</end>
      <status>ignored</status>
      <modifiedWord/>
      <trackRevisions>false</trackRevisions>
    </reviewItem>
    <reviewItem>
      <errorID>40abb9d2-71df-4181-81d7-d9a54364fb72</errorID>
      <errorWord>双碳</errorWord>
      <group>L1_Political</group>
      <groupName>政治性问题</groupName>
      <ability>L2_Keyword</ability>
      <abilityName>固定表述</abilityName>
      <candidateList>
        <item>“双碳”</item>
      </candidateList>
      <explain>注意检查当前固定表述标点是否使用规范。</explain>
      <paraID>508DF958</paraID>
      <start>3</start>
      <end>5</end>
      <status>ignored</status>
      <modifiedWord/>
      <trackRevisions>false</trackRevisions>
    </reviewItem>
    <reviewItem>
      <errorID>27dc721d-b6d7-4e1a-bda3-9dd2de4f3cf3</errorID>
      <errorWord>双碳</errorWord>
      <group>L1_Political</group>
      <groupName>政治性问题</groupName>
      <ability>L2_Keyword</ability>
      <abilityName>固定表述</abilityName>
      <candidateList>
        <item>“双碳”</item>
      </candidateList>
      <explain>注意检查当前固定表述标点是否使用规范。</explain>
      <paraID>1B0645F9</paraID>
      <start>0</start>
      <end>2</end>
      <status>ignored</status>
      <modifiedWord/>
      <trackRevisions>false</trackRevisions>
    </reviewItem>
    <reviewItem>
      <errorID>1f52c648-4506-4fed-921c-5bf4e3c5d0c0</errorID>
      <errorWord>参与在</errorWord>
      <group>L1_Word</group>
      <groupName>字词问题</groupName>
      <ability>L2_Typo</ability>
      <abilityName>字词错误</abilityName>
      <candidateList>
        <item>参与</item>
      </candidateList>
      <explain>（参预）cānyù〈动〉参加（事务的计划、讨论、处理）：～其事｜他曾～这个规划的制订工作。</explain>
      <paraID>4885292D</paraID>
      <start>52</start>
      <end>55</end>
      <status>ignored</status>
      <modifiedWord/>
      <trackRevisions>false</trackRevisions>
    </reviewItem>
    <reviewItem>
      <errorID>e9098363-65a6-4c6a-871d-26f1d1f60353</errorID>
      <errorWord>双碳</errorWord>
      <group>L1_Political</group>
      <groupName>政治性问题</groupName>
      <ability>L2_Keyword</ability>
      <abilityName>固定表述</abilityName>
      <candidateList>
        <item>“双碳”</item>
      </candidateList>
      <explain>注意检查当前固定表述标点是否使用规范。</explain>
      <paraID>4885292D</paraID>
      <start>55</start>
      <end>57</end>
      <status>ignored</status>
      <modifiedWord/>
      <trackRevisions>false</trackRevisions>
    </reviewItem>
    <reviewItem>
      <errorID>e021a018-97c8-463b-9c31-e68c69088b02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485C0C8D</paraID>
      <start>32</start>
      <end>35</end>
      <status>ignored</status>
      <modifiedWord/>
      <trackRevisions>false</trackRevisions>
    </reviewItem>
    <reviewItem>
      <errorID>0d91385d-b16c-4de2-af58-b063978b6ed7</errorID>
      <errorWord>重点考察学生</errorWord>
      <group>L1_Word</group>
      <groupName>字词问题</groupName>
      <ability>L2_Typo</ability>
      <abilityName>字词错误</abilityName>
      <candidateList>
        <item>重点考查学生</item>
      </candidateList>
      <explain/>
      <paraID>485C0C8D</paraID>
      <start>50</start>
      <end>56</end>
      <status>ignored</status>
      <modifiedWord/>
      <trackRevisions>false</trackRevisions>
    </reviewItem>
    <reviewItem>
      <errorID>8be7830b-23b3-4c08-9393-0dba04638f49</errorID>
      <errorWord>双碳</errorWord>
      <group>L1_Political</group>
      <groupName>政治性问题</groupName>
      <ability>L2_Keyword</ability>
      <abilityName>固定表述</abilityName>
      <candidateList>
        <item>“双碳”</item>
      </candidateList>
      <explain>注意检查当前固定表述标点是否使用规范。</explain>
      <paraID>6CC914EB</paraID>
      <start>3</start>
      <end>5</end>
      <status>ignored</status>
      <modifiedWord/>
      <trackRevisions>false</trackRevisions>
    </reviewItem>
    <reviewItem>
      <errorID>b3caa5c2-c110-4e9f-b1ef-6770f20cc8ed</errorID>
      <errorWord>双碳</errorWord>
      <group>L1_Political</group>
      <groupName>政治性问题</groupName>
      <ability>L2_Keyword</ability>
      <abilityName>固定表述</abilityName>
      <candidateList>
        <item>“双碳”</item>
      </candidateList>
      <explain>注意检查当前固定表述标点是否使用规范。</explain>
      <paraID>16D8CDD2</paraID>
      <start>141</start>
      <end>143</end>
      <status>ignored</status>
      <modifiedWord/>
      <trackRevisions>false</trackRevisions>
    </reviewItem>
    <reviewItem>
      <errorID>980506a9-82f2-46ef-9e21-ae93eb094adf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79E309C4</paraID>
      <start>130</start>
      <end>131</end>
      <status>ignored</status>
      <modifiedWord/>
      <trackRevisions>false</trackRevisions>
    </reviewItem>
    <reviewItem>
      <errorID>e66b456c-f0b5-4b3a-bee9-0703afa4a820</errorID>
      <errorWord>考察学生</errorWord>
      <group>L1_Word</group>
      <groupName>字词问题</groupName>
      <ability>L2_Typo</ability>
      <abilityName>字词错误</abilityName>
      <candidateList>
        <item>考查学生</item>
      </candidateList>
      <explain/>
      <paraID>558E33E7</paraID>
      <start>61</start>
      <end>65</end>
      <status>ignored</status>
      <modifiedWord/>
      <trackRevisions>false</trackRevisions>
    </reviewItem>
    <reviewItem>
      <errorID>9a75a187-366d-42a8-8689-370ba54e90cd</errorID>
      <errorWord>如</errorWord>
      <group>L1_Word</group>
      <groupName>字词问题</groupName>
      <ability>L2_Typo</ability>
      <abilityName>字词错误</abilityName>
      <candidateList>
        <item>如下</item>
      </candidateList>
      <explain>〈动〉如同下面所叙述或列举的：列举～｜现将应注意的事情说明～。</explain>
      <paraID>558E33E7</paraID>
      <start>107</start>
      <end>108</end>
      <status>ignored</status>
      <modifiedWord/>
      <trackRevisions>false</trackRevisions>
    </reviewItem>
    <reviewItem>
      <errorID>d9b692b3-bb9f-47aa-a99f-a39bb6f4947b</errorID>
      <errorWord>双碳</errorWord>
      <group>L1_Political</group>
      <groupName>政治性问题</groupName>
      <ability>L2_Keyword</ability>
      <abilityName>固定表述</abilityName>
      <candidateList>
        <item>“双碳”</item>
      </candidateList>
      <explain>注意检查当前固定表述标点是否使用规范。</explain>
      <paraID>5889B778</paraID>
      <start>2</start>
      <end>4</end>
      <status>ignored</status>
      <modifiedWord/>
      <trackRevisions>false</trackRevisions>
    </reviewItem>
    <reviewItem>
      <errorID>d7862b93-10f9-47a0-8820-efe6aca03a1e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643A6E14</paraID>
      <start>0</start>
      <end>3</end>
      <status>ignored</status>
      <modifiedWord/>
      <trackRevisions>false</trackRevisions>
    </reviewItem>
    <reviewItem>
      <errorID>2cee4d3b-0bf4-4086-b9ee-37b043edc852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608F1FD</paraID>
      <start>0</start>
      <end>3</end>
      <status>ignored</status>
      <modifiedWord/>
      <trackRevisions>false</trackRevisions>
    </reviewItem>
    <reviewItem>
      <errorID>f02472a5-5159-4f4b-ad14-415ec6f8ac7e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49B474F</paraID>
      <start>0</start>
      <end>3</end>
      <status>ignored</status>
      <modifiedWord/>
      <trackRevisions>false</trackRevisions>
    </reviewItem>
    <reviewItem>
      <errorID>89cbb045-ae28-43de-a69d-d8c3c711e38f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466326A8</paraID>
      <start>0</start>
      <end>3</end>
      <status>ignored</status>
      <modifiedWord/>
      <trackRevisions>false</trackRevisions>
    </reviewItem>
    <reviewItem>
      <errorID>18279ee9-e10d-40b1-907d-b8289c10a392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7E0A3755</paraID>
      <start>0</start>
      <end>3</end>
      <status>ignored</status>
      <modifiedWord/>
      <trackRevisions>false</trackRevisions>
    </reviewItem>
    <reviewItem>
      <errorID>5e4c816e-42aa-486c-beaa-007062022739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2E51F33</paraID>
      <start>0</start>
      <end>3</end>
      <status>ignored</status>
      <modifiedWord/>
      <trackRevisions>false</trackRevisions>
    </reviewItem>
    <reviewItem>
      <errorID>d9c2567e-6a34-4985-8e4c-24bf90e1f065</errorID>
      <errorWord>双碳</errorWord>
      <group>L1_Political</group>
      <groupName>政治性问题</groupName>
      <ability>L2_Keyword</ability>
      <abilityName>固定表述</abilityName>
      <candidateList>
        <item>“双碳”</item>
      </candidateList>
      <explain>注意检查当前固定表述标点是否使用规范。</explain>
      <paraID>77B6CAAB</paraID>
      <start>5</start>
      <end>7</end>
      <status>ignored</status>
      <modifiedWord/>
      <trackRevisions>false</trackRevisions>
    </reviewItem>
    <reviewItem>
      <errorID>2ba9f23c-6c33-4069-8601-8871ad0f480f</errorID>
      <errorWord>队</errorWord>
      <group>L1_Word</group>
      <groupName>字词问题</groupName>
      <ability>L2_Typo</ability>
      <abilityName>字词错误</abilityName>
      <candidateList>
        <item>队伍</item>
      </candidateList>
      <explain/>
      <paraID>42995EAB</paraID>
      <start>7</start>
      <end>8</end>
      <status>ignored</status>
      <modifiedWord/>
      <trackRevisions>false</trackRevisions>
    </reviewItem>
    <reviewItem>
      <errorID>f740075b-8f79-4df4-849e-b5b3333a9236</errorID>
      <errorWord>获</errorWord>
      <group>L1_Word</group>
      <groupName>字词问题</groupName>
      <ability>L2_Typo</ability>
      <abilityName>字词错误</abilityName>
      <candidateList>
        <item>获得</item>
      </candidateList>
      <explain>〈动〉取得；得到（多用于抽象事物）：～好评｜～宝贵的经验｜～显著的成绩。</explain>
      <paraID>59FCFEBE</paraID>
      <start>9</start>
      <end>10</end>
      <status>ignored</status>
      <modifiedWord/>
      <trackRevisions>false</trackRevisions>
    </reviewItem>
    <reviewItem>
      <errorID>a33ddefa-649b-402f-871a-694dfea4b909</errorID>
      <errorWord>获</errorWord>
      <group>L1_Word</group>
      <groupName>字词问题</groupName>
      <ability>L2_Typo</ability>
      <abilityName>字词错误</abilityName>
      <candidateList>
        <item>获得</item>
      </candidateList>
      <explain>〈动〉取得；得到（多用于抽象事物）：～好评｜～宝贵的经验｜～显著的成绩。</explain>
      <paraID>59C5AAFE</paraID>
      <start>7</start>
      <end>8</end>
      <status>ignored</status>
      <modifiedWord/>
      <trackRevisions>false</trackRevisions>
    </reviewItem>
    <reviewItem>
      <errorID>bd0db759-ec40-491a-8a4f-0e87b371e651</errorID>
      <errorWord>时间就</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52147990</paraID>
      <start>18</start>
      <end>21</end>
      <status>ignored</status>
      <modifiedWord/>
      <trackRevisions>false</trackRevisions>
    </reviewItem>
    <reviewItem>
      <errorID>aac789ea-5049-4b96-b229-affc96801fde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33B534E2</paraID>
      <start>0</start>
      <end>3</end>
      <status>ignored</status>
      <modifiedWord/>
      <trackRevisions>false</trackRevisions>
    </reviewItem>
    <reviewItem>
      <errorID>6e47573c-12cf-48a6-87f4-4d41e1ef1f16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6159CB89</paraID>
      <start>0</start>
      <end>3</end>
      <status>ignored</status>
      <modifiedWord/>
      <trackRevisions>false</trackRevisions>
    </reviewItem>
    <reviewItem>
      <errorID>cc45a378-ba49-4383-8988-aeafabf2c8a1</errorID>
      <errorWord>做好本</errorWord>
      <group>L1_Word</group>
      <groupName>字词问题</groupName>
      <ability>L2_Typo</ability>
      <abilityName>字词错误</abilityName>
      <candidateList>
        <item>做好</item>
      </candidateList>
      <explain/>
      <paraID>5AB2828D</paraID>
      <start>10</start>
      <end>13</end>
      <status>ignored</status>
      <modifiedWord/>
      <trackRevisions>false</trackRevisions>
    </reviewItem>
    <reviewItem>
      <errorID>c6141d25-aa35-47cd-9255-010a292d456e</errorID>
      <errorWord>拒绝接收</errorWord>
      <group>L1_Word</group>
      <groupName>字词问题</groupName>
      <ability>L2_Typo</ability>
      <abilityName>字词错误</abilityName>
      <candidateList>
        <item>拒绝接受</item>
      </candidateList>
      <explain>存在发音相同字词的误用。</explain>
      <paraID>25ADFE6A</paraID>
      <start>10</start>
      <end>14</end>
      <status>ignored</status>
      <modifiedWord/>
      <trackRevisions>false</trackRevisions>
    </reviewItem>
  </reviewItems>
  <config/>
</contractReview>
</file>

<file path=customXml/itemProps1.xml><?xml version="1.0" encoding="utf-8"?>
<ds:datastoreItem xmlns:ds="http://schemas.openxmlformats.org/officeDocument/2006/customXml" ds:itemID="{E52F552F-6E8B-4B9E-8611-5E1ACE603100}">
  <ds:schemaRefs/>
</ds:datastoreItem>
</file>

<file path=customXml/itemProps2.xml><?xml version="1.0" encoding="utf-8"?>
<ds:datastoreItem xmlns:ds="http://schemas.openxmlformats.org/officeDocument/2006/customXml" ds:itemID="{c24eeb70-00f2-4c18-bf77-70f6f1e9ba6c}">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7492</Words>
  <Characters>7792</Characters>
  <Lines>668</Lines>
  <Paragraphs>631</Paragraphs>
  <TotalTime>2</TotalTime>
  <ScaleCrop>false</ScaleCrop>
  <LinksUpToDate>false</LinksUpToDate>
  <CharactersWithSpaces>7881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2026-05-01T17:41:00Z</dcterms:created>
  <dc:creator>Administrator</dc:creator>
  <cp:lastModifiedBy>任雯君</cp:lastModifiedBy>
  <cp:lastPrinted>2025-03-27T10:00:00Z</cp:lastPrinted>
  <dcterms:modified xsi:type="dcterms:W3CDTF">2026-07-13T07:51:45Z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eyJoZGlkIjoiYzM3MGFjYjlhYWY2ZGE3YTBhZDgzZmJkZDBiMjdjY2UiLCJ1c2VySWQiOiI4MjAxNTEzNzYifQ==</vt:lpwstr>
  </property>
  <property fmtid="{D5CDD505-2E9C-101B-9397-08002B2CF9AE}" pid="4" name="ICV">
    <vt:lpwstr>7FDA3C5980044329AB7E3D91D40560C9</vt:lpwstr>
  </property>
</Properties>
</file>