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9D" w:rsidRDefault="005D615C" w:rsidP="007A2A2F">
      <w:pPr>
        <w:spacing w:line="580" w:lineRule="exact"/>
        <w:ind w:firstLineChars="200" w:firstLine="880"/>
        <w:rPr>
          <w:rFonts w:ascii="方正小标宋简体" w:eastAsia="方正小标宋简体" w:hAnsi="微软雅黑" w:cs="宋体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安徽工程大学本科辅修专业实施办法</w:t>
      </w:r>
    </w:p>
    <w:p w:rsidR="00362E9D" w:rsidRDefault="00362E9D">
      <w:pPr>
        <w:spacing w:line="580" w:lineRule="exact"/>
        <w:ind w:firstLineChars="200" w:firstLine="880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</w:p>
    <w:p w:rsidR="00362E9D" w:rsidRDefault="005D615C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为适应国家经济建设和社会发展对人才的需求，推进个性化人才培养改革，培养复合型、创新型的高素质人才，进一步提升学生的社会适应力和综合竞争力，根据《中华人民共和国学位法》《学士学位授权与授予管理办法》及学校全日制本科学生学籍管理办法等有关文件，特制定本办法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第一章</w:t>
      </w:r>
      <w:r>
        <w:rPr>
          <w:rFonts w:ascii="Calibri" w:eastAsia="黑体" w:hAnsi="Calibri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辅修专业及培养方案设置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第一条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辅修专业是指学有余力的本科学生在攻读主修专业的同时，根据自己的特长、兴趣选择修读主修专业以外的另一个专业。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第二条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辅修专业应参照同专业的人才培养要求，确定辅修课程体系、学分标准和学士学位授予标准，学制原则上不超过</w:t>
      </w:r>
      <w:r>
        <w:rPr>
          <w:rFonts w:ascii="仿宋_GB2312" w:eastAsia="仿宋_GB2312" w:hAnsi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kern w:val="0"/>
          <w:sz w:val="32"/>
          <w:szCs w:val="32"/>
        </w:rPr>
        <w:t>年。原则上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辅修专业培养计划课程设置总学分不低于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学分，授予辅修学士学位的专业，须另设置毕业设计（论文）教学环节，毕业设计（论文）的管理参照学校毕业设计（论文）相关规定执行。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第三条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辅修专业培养方案及课程教学大纲由辅修开设学院负责制定、审核，报教务处备案。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第二章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申请条件及程序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第四条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申请辅修学习的条件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全日制在校二年级及以上本科学生。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完成第一学年主修专业全部课程学习，且学有余力者。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五条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辅修专业开设前一学期进行辅修报名、审批工作。教务处审核汇总相关学院申请开设辅修情况，在全校公布；学生根据辅修报名通知，在规定时间内提交报名申请，经辅修开设学院审核通过后，报教务处备案。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第三章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教学组织与管理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第六条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辅修开设学院应严格按照教学计划组织教学。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第七条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辅修课程教学采取单独编班形式开展，单独考核；人数较少时，可插班学习，随班考核。辅修开设学院将相关课表、考核安排分别报教务处备案，教务处对各教学环节进行检查。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第八条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辅修学生应首先保证主修专业的学习。由于辅修或其他原因导致主修专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业学习成绩明显下降者，主修专业所在学院可依据本办法，书面通知辅修开设学院，引导其停止辅修学习，并报教务处备案。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第九条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由于特殊原因，可以申请中止辅修学习，并在辅修开设学院办理退修手续，报教务处备案。已取得的辅修学分由辅修开设学院出具辅修课程成绩证明。退修学生可根据课程内容、课程属性向本人所在学院、课程开课学院申请课程替代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辅修学生需在规定的修业年限内完成辅修计划。辅修课程考试未通过者可以申请重修。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第四章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学籍及成绩管理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第十一条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每名学生只能选择一个辅修专业。学生申请辅修专业一经确认，不得随意变更。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第十二条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辅修专业的学籍管理及成绩管理，与主修专业的学籍管理和成绩管理要求相同。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第十三条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学生因休学等原因需中断辅修学习，可申请保留辅修资格。复学后，须及时申请恢复辅修学习。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第十四条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修满辅修专业培养方案规定的全部学分，发放辅修专业证书。辅修专业与主修专业归属不同的本科专业大类，可申请授予辅修专业学士学位，由辅修开设学院审核，校学士学位办公室复核，报校学位评定委员会审定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第十五条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辅修学士学位在主修学士学位证书中予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以注明，不单独发放学位证书。未取得主修学士学位的不得授予辅修学士学位。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第十六条</w:t>
      </w:r>
      <w:r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学校颁发的辅修专业证书，在中国高等教育学生信息网（简称“学信网”）上标注，与学历证书配合使用；学校授予的辅修专业学位证书在学信网上注册。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第五章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收费管理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第十七条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辅修实行学分制，学生参加辅修学习必须按课程学分缴纳相应费用。因个人原因中途退出辅修学习，或未能完成所修学分，其所交费用不予退还。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第十八条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辅修费用按学期收取，按实际修读学分结算，收费标准参照学校有关规定执行。在规定时间内没有缴纳相应费用的，终止辅修资格。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第六章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档案管理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第十九条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经审批后的《安徽工程大学本科学生修读辅修专业申请表》由辅修专业开设学院负责归档。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第二十条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学生修读辅修专业期间，其辅修专业的学习成绩由其辅修专业所在学院保管，学生完成辅修专业学业后，辅修专业所在学院将其辅修专业成绩单送学生主修专业所在学院，归入学生个人档案。</w:t>
      </w:r>
    </w:p>
    <w:p w:rsidR="00362E9D" w:rsidRDefault="005D615C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第二十一条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修读辅修专业的学生试卷、毕业设计（论文）等材料由辅修专业所在学院保管。</w:t>
      </w:r>
    </w:p>
    <w:p w:rsidR="00362E9D" w:rsidRDefault="005D615C">
      <w:pPr>
        <w:widowControl/>
        <w:spacing w:line="58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第七章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附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则</w:t>
      </w:r>
    </w:p>
    <w:p w:rsidR="00362E9D" w:rsidRPr="007A2A2F" w:rsidRDefault="005D615C" w:rsidP="007A2A2F">
      <w:pPr>
        <w:spacing w:line="58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第二十二条</w:t>
      </w:r>
      <w:r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本办法自公布之日起施行，由教务处负责解释。原《安徽工程大学辅修专业和辅修双学位实施办法（试行）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》（校教字〔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2013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〕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92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号）同时废止。</w:t>
      </w:r>
      <w:bookmarkStart w:id="0" w:name="_GoBack"/>
      <w:bookmarkEnd w:id="0"/>
    </w:p>
    <w:sectPr w:rsidR="00362E9D" w:rsidRPr="007A2A2F">
      <w:footerReference w:type="even" r:id="rId7"/>
      <w:footerReference w:type="default" r:id="rId8"/>
      <w:pgSz w:w="11906" w:h="16838"/>
      <w:pgMar w:top="2097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5C" w:rsidRDefault="005D615C">
      <w:r>
        <w:separator/>
      </w:r>
    </w:p>
  </w:endnote>
  <w:endnote w:type="continuationSeparator" w:id="0">
    <w:p w:rsidR="005D615C" w:rsidRDefault="005D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9D" w:rsidRDefault="005D615C">
    <w:pPr>
      <w:pStyle w:val="a4"/>
      <w:framePr w:wrap="around" w:vAnchor="text" w:hAnchor="margin" w:xAlign="outside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:rsidR="00362E9D" w:rsidRDefault="00362E9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9D" w:rsidRDefault="005D615C">
    <w:pPr>
      <w:pStyle w:val="a4"/>
      <w:framePr w:wrap="around" w:vAnchor="text" w:hAnchor="margin" w:xAlign="outside" w:y="1"/>
      <w:rPr>
        <w:rFonts w:ascii="宋体" w:hAnsi="宋体" w:cs="宋体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>Page</w:instrText>
    </w:r>
    <w:r>
      <w:rPr>
        <w:rStyle w:val="a7"/>
        <w:rFonts w:ascii="宋体" w:hAnsi="宋体" w:cs="宋体" w:hint="eastAsia"/>
        <w:sz w:val="28"/>
        <w:szCs w:val="28"/>
      </w:rPr>
      <w:fldChar w:fldCharType="separate"/>
    </w:r>
    <w:r>
      <w:rPr>
        <w:rStyle w:val="a7"/>
        <w:rFonts w:ascii="宋体" w:hAnsi="宋体" w:cs="宋体"/>
        <w:noProof/>
        <w:sz w:val="28"/>
        <w:szCs w:val="28"/>
      </w:rPr>
      <w:t>- 1 -</w:t>
    </w:r>
    <w:r>
      <w:rPr>
        <w:rStyle w:val="a7"/>
        <w:rFonts w:ascii="宋体" w:hAnsi="宋体" w:cs="宋体" w:hint="eastAsia"/>
        <w:sz w:val="28"/>
        <w:szCs w:val="28"/>
      </w:rPr>
      <w:fldChar w:fldCharType="end"/>
    </w:r>
  </w:p>
  <w:p w:rsidR="00362E9D" w:rsidRDefault="00362E9D">
    <w:pPr>
      <w:pStyle w:val="a4"/>
      <w:ind w:firstLine="360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5C" w:rsidRDefault="005D615C">
      <w:r>
        <w:separator/>
      </w:r>
    </w:p>
  </w:footnote>
  <w:footnote w:type="continuationSeparator" w:id="0">
    <w:p w:rsidR="005D615C" w:rsidRDefault="005D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362E9D"/>
    <w:rsid w:val="00362E9D"/>
    <w:rsid w:val="005D615C"/>
    <w:rsid w:val="007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13D7B"/>
  <w15:docId w15:val="{97FAD180-3279-4114-83DD-3670B32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24"/>
      <w:u w:val="none"/>
      <w:shd w:val="clear" w:color="auto" w:fill="auto"/>
      <w:vertAlign w:val="baseline"/>
      <w:em w:val="none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em w:val="none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em w:val="none"/>
      <w:lang w:val="en-US" w:eastAsia="zh-CN" w:bidi="ar-SA"/>
    </w:rPr>
  </w:style>
  <w:style w:type="paragraph" w:styleId="11">
    <w:name w:val="toc 1"/>
    <w:basedOn w:val="a"/>
    <w:next w:val="a"/>
    <w:autoRedefine/>
    <w:qFormat/>
  </w:style>
  <w:style w:type="paragraph" w:styleId="21">
    <w:name w:val="toc 2"/>
    <w:basedOn w:val="a"/>
    <w:next w:val="a"/>
    <w:autoRedefine/>
    <w:qFormat/>
    <w:pPr>
      <w:ind w:left="420"/>
    </w:pPr>
  </w:style>
  <w:style w:type="paragraph" w:styleId="31">
    <w:name w:val="toc 3"/>
    <w:basedOn w:val="a"/>
    <w:next w:val="a"/>
    <w:autoRedefine/>
    <w:qFormat/>
    <w:pPr>
      <w:ind w:left="840"/>
    </w:pPr>
  </w:style>
  <w:style w:type="paragraph" w:styleId="4">
    <w:name w:val="toc 4"/>
    <w:basedOn w:val="a"/>
    <w:next w:val="a"/>
    <w:autoRedefine/>
    <w:qFormat/>
    <w:pPr>
      <w:ind w:left="1260"/>
    </w:pPr>
  </w:style>
  <w:style w:type="paragraph" w:styleId="5">
    <w:name w:val="toc 5"/>
    <w:basedOn w:val="a"/>
    <w:next w:val="a"/>
    <w:autoRedefine/>
    <w:qFormat/>
    <w:pPr>
      <w:ind w:left="1680"/>
    </w:pPr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annotation subject"/>
    <w:basedOn w:val="a5"/>
    <w:next w:val="a5"/>
    <w:qFormat/>
    <w:rPr>
      <w:b/>
      <w:bCs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rsid w:val="007A2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2A2F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 pgNumType="\* ArabicDash2"/>
  </customProps>
</customData>
</file>

<file path=customXml/itemProps1.xml><?xml version="1.0" encoding="utf-8"?>
<ds:datastoreItem xmlns:ds="http://schemas.openxmlformats.org/officeDocument/2006/customXml" ds:itemID="{2AFF5C7D-58DB-4E1D-818A-95E4C4511E4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郑滨</dc:creator>
  <cp:lastModifiedBy>jiangsheng</cp:lastModifiedBy>
  <cp:revision>2</cp:revision>
  <dcterms:created xsi:type="dcterms:W3CDTF">2021-01-13T06:20:00Z</dcterms:created>
  <dcterms:modified xsi:type="dcterms:W3CDTF">2026-03-20T03:30:00Z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