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2</w:t>
      </w:r>
      <w:r>
        <w:rPr>
          <w:rFonts w:hint="eastAsia" w:ascii="黑体" w:hAnsi="黑体" w:eastAsia="黑体" w:cs="仿宋"/>
          <w:sz w:val="44"/>
          <w:szCs w:val="44"/>
        </w:rPr>
        <w:t>-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省级课程建设类项目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线上课程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线上线下混合式课程  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线下课程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>□</w:t>
      </w:r>
      <w:r>
        <w:rPr>
          <w:rFonts w:hint="eastAsia" w:ascii="黑体" w:hAnsi="黑体" w:eastAsia="黑体"/>
          <w:sz w:val="32"/>
          <w:szCs w:val="32"/>
          <w:u w:val="single"/>
        </w:rPr>
        <w:t>社会实践课程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2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11月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1</w:t>
      </w:r>
      <w:r>
        <w:rPr>
          <w:rFonts w:ascii="黑体" w:hAnsi="黑体" w:eastAsia="黑体"/>
          <w:b/>
          <w:bCs/>
          <w:sz w:val="28"/>
        </w:rPr>
        <w:t>.课程负责人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48"/>
        <w:gridCol w:w="1402"/>
        <w:gridCol w:w="970"/>
        <w:gridCol w:w="388"/>
        <w:gridCol w:w="992"/>
        <w:gridCol w:w="118"/>
        <w:gridCol w:w="308"/>
        <w:gridCol w:w="951"/>
        <w:gridCol w:w="4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1-1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信息</w:t>
            </w: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40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70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　务</w:t>
            </w:r>
          </w:p>
        </w:tc>
        <w:tc>
          <w:tcPr>
            <w:tcW w:w="1498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院  系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主讲本</w:t>
            </w:r>
            <w:r>
              <w:rPr>
                <w:rFonts w:ascii="楷体" w:hAnsi="楷体" w:eastAsia="楷体"/>
                <w:bCs/>
                <w:sz w:val="24"/>
              </w:rPr>
              <w:t>课程</w:t>
            </w:r>
            <w:r>
              <w:rPr>
                <w:rFonts w:hint="eastAsia" w:ascii="楷体" w:hAnsi="楷体" w:eastAsia="楷体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近三教学周期教务系统截图</w:t>
            </w:r>
          </w:p>
        </w:tc>
        <w:tc>
          <w:tcPr>
            <w:tcW w:w="6422" w:type="dxa"/>
            <w:gridSpan w:val="9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第一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： 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第二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第三</w:t>
            </w: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>：     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48" w:type="dxa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是否本校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专任教师</w:t>
            </w:r>
          </w:p>
        </w:tc>
        <w:tc>
          <w:tcPr>
            <w:tcW w:w="6422" w:type="dxa"/>
            <w:gridSpan w:val="9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（若否，请注明受聘教师类别及实际工作单位）</w:t>
            </w:r>
          </w:p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1-2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课程名称</w:t>
            </w: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课程类别</w:t>
            </w: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周学时</w:t>
            </w: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听众数/年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32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>
            <w:pPr>
              <w:ind w:right="-107"/>
              <w:jc w:val="left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</w:t>
            </w:r>
            <w:r>
              <w:rPr>
                <w:rFonts w:hint="eastAsia" w:ascii="楷体" w:hAnsi="楷体" w:eastAsia="楷体"/>
              </w:rPr>
              <w:t>或</w:t>
            </w:r>
            <w:r>
              <w:rPr>
                <w:rFonts w:ascii="楷体" w:hAnsi="楷体" w:eastAsia="楷体"/>
              </w:rPr>
              <w:t>课程建设类项目（含课题名称、来源、年限）（限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hint="eastAsia" w:ascii="楷体" w:hAnsi="楷体" w:eastAsia="楷体"/>
              </w:rPr>
              <w:t>；获得的教学表彰/奖励（</w:t>
            </w:r>
            <w:r>
              <w:rPr>
                <w:rFonts w:ascii="楷体" w:hAnsi="楷体" w:eastAsia="楷体"/>
              </w:rPr>
              <w:t>限</w:t>
            </w:r>
            <w:r>
              <w:rPr>
                <w:rFonts w:hint="eastAsia" w:ascii="楷体" w:hAnsi="楷体" w:eastAsia="楷体"/>
              </w:rPr>
              <w:t>5项）。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232" w:type="dxa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4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学术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10"/>
          </w:tcPr>
          <w:p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项）；在国内外公开发行刊物上发表的学术论文（含题目、刊物名称、</w:t>
            </w:r>
          </w:p>
          <w:p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项）；获得的学术研究表彰/奖励（含奖项名称、</w:t>
            </w:r>
          </w:p>
          <w:p>
            <w:pPr>
              <w:widowControl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</w:t>
            </w:r>
            <w:r>
              <w:rPr>
                <w:rFonts w:hint="eastAsia" w:ascii="楷体" w:hAnsi="楷体" w:eastAsia="楷体"/>
              </w:rPr>
              <w:t>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2.其他主讲教师</w:t>
      </w:r>
      <w:r>
        <w:rPr>
          <w:rFonts w:ascii="黑体" w:hAnsi="黑体" w:eastAsia="黑体"/>
          <w:b/>
          <w:bCs/>
          <w:sz w:val="28"/>
        </w:rPr>
        <w:t>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承担主要</w:t>
            </w:r>
            <w:r>
              <w:rPr>
                <w:rFonts w:ascii="楷体" w:hAnsi="楷体" w:eastAsia="楷体"/>
                <w:bCs/>
                <w:sz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rPr>
          <w:rFonts w:ascii="黑体" w:hAnsi="黑体" w:eastAsia="黑体"/>
          <w:b/>
          <w:bCs/>
          <w:sz w:val="28"/>
        </w:rPr>
      </w:pPr>
    </w:p>
    <w:p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3.课程情况</w:t>
      </w:r>
    </w:p>
    <w:p>
      <w:pPr>
        <w:outlineLvl w:val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 课程概况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预计总时长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05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时长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73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64" w:type="dxa"/>
            <w:vAlign w:val="center"/>
          </w:tcPr>
          <w:p>
            <w:pPr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3-2 课程描述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3-2-1 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3-2-2课程内容安排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3-2-3课程预期受众的定位与目标（包括</w:t>
            </w:r>
            <w:r>
              <w:rPr>
                <w:rFonts w:ascii="黑体" w:hAnsi="黑体" w:eastAsia="黑体"/>
                <w:sz w:val="24"/>
              </w:rPr>
              <w:t>课程思政目标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3-2-4相关教学资源储备情况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4.评价反馈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4-1 自我评价</w:t>
            </w:r>
            <w:r>
              <w:rPr>
                <w:rFonts w:hint="eastAsia" w:ascii="楷体" w:hAnsi="楷体" w:eastAsia="楷体"/>
                <w:sz w:val="24"/>
              </w:rPr>
              <w:t>（课程主要特色、影响力分析，省内外同类课程建设</w:t>
            </w:r>
            <w:r>
              <w:rPr>
                <w:rFonts w:ascii="楷体" w:hAnsi="楷体" w:eastAsia="楷体"/>
                <w:sz w:val="24"/>
              </w:rPr>
              <w:t>和应用</w:t>
            </w:r>
            <w:r>
              <w:rPr>
                <w:rFonts w:hint="eastAsia" w:ascii="楷体" w:hAnsi="楷体" w:eastAsia="楷体"/>
                <w:sz w:val="24"/>
              </w:rPr>
              <w:t>比较等）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4-2 学生评价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 xml:space="preserve"> 同行评价</w:t>
            </w: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4</w:t>
            </w:r>
            <w:r>
              <w:rPr>
                <w:rFonts w:hint="eastAsia" w:ascii="黑体" w:hAnsi="黑体" w:eastAsia="黑体"/>
                <w:sz w:val="24"/>
              </w:rPr>
              <w:t xml:space="preserve"> 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5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技术支持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restart"/>
            <w:vAlign w:val="center"/>
          </w:tcPr>
          <w:p>
            <w:pPr>
              <w:snapToGrid w:val="0"/>
              <w:spacing w:line="480" w:lineRule="auto"/>
              <w:ind w:right="-103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5</w:t>
            </w:r>
            <w:r>
              <w:rPr>
                <w:rFonts w:ascii="楷体" w:hAnsi="楷体" w:eastAsia="楷体"/>
                <w:bCs/>
                <w:sz w:val="24"/>
              </w:rPr>
              <w:t>-1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技术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负责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人情</w:t>
            </w:r>
          </w:p>
          <w:p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 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81" w:type="dxa"/>
            <w:vMerge w:val="continue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181" w:type="dxa"/>
            <w:vMerge w:val="continue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902" w:type="dxa"/>
            <w:gridSpan w:val="11"/>
            <w:vAlign w:val="center"/>
          </w:tcPr>
          <w:p>
            <w:pPr>
              <w:snapToGrid w:val="0"/>
              <w:spacing w:line="276" w:lineRule="auto"/>
              <w:ind w:right="-103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5-2 技术支持队伍（包括脚本设计、摄像、编辑制作、英文字幕等）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8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2" w:type="dxa"/>
            <w:gridSpan w:val="11"/>
          </w:tcPr>
          <w:p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5-3技术条件</w:t>
            </w:r>
          </w:p>
          <w:p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8902" w:type="dxa"/>
            <w:gridSpan w:val="11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6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spacing w:line="580" w:lineRule="exact"/>
              <w:ind w:firstLine="480" w:firstLineChars="200"/>
              <w:rPr>
                <w:rFonts w:hint="default" w:ascii="仿宋_GB2312" w:hAnsi="宋体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课程教学是高等学校本科教学最重要的环节，课程建设是学校长抓不懈的教学基本建设。多年来，我校十分重视课程建设工作，为了进一步推动我校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一流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课程建设工作，学校于2005年连续制定出台了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多个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文件，加强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一流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课程的建设与管理工作。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文件为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《</w:t>
            </w:r>
            <w:r>
              <w:rPr>
                <w:rFonts w:ascii="仿宋_GB2312" w:hAnsi="宋体" w:eastAsia="仿宋_GB2312"/>
                <w:bCs/>
                <w:sz w:val="24"/>
              </w:rPr>
              <w:t>关于印发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（</w:t>
            </w:r>
            <w:r>
              <w:rPr>
                <w:rFonts w:ascii="仿宋_GB2312" w:hAnsi="宋体" w:eastAsia="仿宋_GB2312"/>
                <w:bCs/>
                <w:sz w:val="24"/>
              </w:rPr>
              <w:t>安徽工程大学课程建设与评估办法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）</w:t>
            </w:r>
            <w:r>
              <w:rPr>
                <w:rFonts w:ascii="仿宋_GB2312" w:hAnsi="宋体" w:eastAsia="仿宋_GB2312"/>
                <w:bCs/>
                <w:sz w:val="24"/>
              </w:rPr>
              <w:t>的通知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》</w:t>
            </w:r>
            <w:r>
              <w:rPr>
                <w:rFonts w:hint="eastAsia" w:ascii="仿宋_GB2312" w:hAnsi="宋体" w:eastAsia="仿宋_GB2312"/>
                <w:bCs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《</w:t>
            </w:r>
            <w:r>
              <w:rPr>
                <w:rFonts w:ascii="仿宋_GB2312" w:hAnsi="宋体" w:eastAsia="仿宋_GB2312"/>
                <w:bCs/>
                <w:sz w:val="24"/>
              </w:rPr>
              <w:t>关于印发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（</w:t>
            </w:r>
            <w:r>
              <w:rPr>
                <w:rFonts w:ascii="仿宋_GB2312" w:hAnsi="宋体" w:eastAsia="仿宋_GB2312"/>
                <w:bCs/>
                <w:sz w:val="24"/>
              </w:rPr>
              <w:t>安徽工程大学精品课程建设实施办法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）</w:t>
            </w:r>
            <w:r>
              <w:rPr>
                <w:rFonts w:ascii="仿宋_GB2312" w:hAnsi="宋体" w:eastAsia="仿宋_GB2312"/>
                <w:bCs/>
                <w:sz w:val="24"/>
              </w:rPr>
              <w:t>的通知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》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、《安徽工程大学一流课程建设暂行办法》、《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安徽工程大学一流课程建设办法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》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。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为了激励广大教师投身课程教学改革，学校出台激励措施，《安徽工程大学本科教学突出业绩奖励办法（修订）》和《安徽工程大学教育教学成果（项目）激励办法》，提出“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获批国家级MOOC示范课程和国家虚拟仿真教学实验项目每门奖励8万元，其他国家级一流课程每门奖励6万元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”。</w:t>
            </w:r>
          </w:p>
          <w:p>
            <w:pPr>
              <w:spacing w:line="580" w:lineRule="exact"/>
              <w:ind w:firstLine="480" w:firstLineChars="200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广大教师踊跃申报各级精品课程教师项目，在精品课程建设方面投入了大量精力，带动了本科教学工作其他方面的积极发展。如师资建设、专业建设、教学以及等等。截至目前，我校共有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2门国家级一流课程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，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70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门省级</w:t>
            </w:r>
            <w:r>
              <w:rPr>
                <w:rFonts w:hint="eastAsia" w:ascii="仿宋_GB2312" w:hAnsi="宋体" w:eastAsia="仿宋_GB2312"/>
                <w:bCs/>
                <w:sz w:val="24"/>
                <w:lang w:val="en-US" w:eastAsia="zh-CN"/>
              </w:rPr>
              <w:t>一流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课程。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7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建设预期成果</w:t>
      </w:r>
      <w:r>
        <w:rPr>
          <w:rFonts w:hint="eastAsia" w:ascii="楷体" w:hAnsi="楷体" w:eastAsia="楷体"/>
          <w:sz w:val="28"/>
        </w:rPr>
        <w:t>（含主要成果和特色）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8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1ODIwZmM3OTMyNjNhMzQ4MzliMzZiNWJhZWE5YjMifQ=="/>
  </w:docVars>
  <w:rsids>
    <w:rsidRoot w:val="000E4326"/>
    <w:rsid w:val="00000BC7"/>
    <w:rsid w:val="000039B0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14DC0"/>
    <w:rsid w:val="00327A06"/>
    <w:rsid w:val="003B232A"/>
    <w:rsid w:val="00412818"/>
    <w:rsid w:val="0043388A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F3D55"/>
    <w:rsid w:val="00924DFF"/>
    <w:rsid w:val="00A13024"/>
    <w:rsid w:val="00B37195"/>
    <w:rsid w:val="00B37C8D"/>
    <w:rsid w:val="00B4549D"/>
    <w:rsid w:val="00CF750F"/>
    <w:rsid w:val="00D007BB"/>
    <w:rsid w:val="00D02A99"/>
    <w:rsid w:val="00EA77AC"/>
    <w:rsid w:val="00EC7E26"/>
    <w:rsid w:val="00F50E32"/>
    <w:rsid w:val="00F62320"/>
    <w:rsid w:val="00FE09CE"/>
    <w:rsid w:val="00FE2BEF"/>
    <w:rsid w:val="00FE3EB7"/>
    <w:rsid w:val="35C3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383</Words>
  <Characters>2184</Characters>
  <Lines>18</Lines>
  <Paragraphs>5</Paragraphs>
  <TotalTime>2</TotalTime>
  <ScaleCrop>false</ScaleCrop>
  <LinksUpToDate>false</LinksUpToDate>
  <CharactersWithSpaces>2562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2022-11-26T04:35:00Z</dcterms:created>
  <dc:creator>fb</dc:creator>
  <cp:lastModifiedBy>丿偏爱灬慕荣</cp:lastModifiedBy>
  <dcterms:modified xsi:type="dcterms:W3CDTF">2022-12-07T10:28:25Z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D1D1AFDC984B4A64B4FC54A3B407584E</vt:lpwstr>
  </property>
</Properties>
</file>