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BC966">
      <w:pPr>
        <w:adjustRightInd w:val="0"/>
        <w:snapToGrid w:val="0"/>
        <w:spacing w:line="580" w:lineRule="exact"/>
        <w:jc w:val="center"/>
        <w:rPr>
          <w:rFonts w:ascii="方正小标宋简体" w:eastAsia="方正小标宋简体"/>
          <w:sz w:val="44"/>
          <w:szCs w:val="44"/>
        </w:rPr>
      </w:pPr>
      <w:r>
        <w:rPr>
          <w:rFonts w:hint="eastAsia" w:ascii="方正小标宋简体" w:eastAsia="方正小标宋简体"/>
          <w:sz w:val="44"/>
          <w:szCs w:val="44"/>
        </w:rPr>
        <w:t>安徽工程大学微专业建设与管理办法</w:t>
      </w:r>
    </w:p>
    <w:p w14:paraId="4081AEBE">
      <w:pPr>
        <w:adjustRightInd w:val="0"/>
        <w:snapToGrid w:val="0"/>
        <w:spacing w:line="580" w:lineRule="exact"/>
        <w:jc w:val="center"/>
        <w:rPr>
          <w:rFonts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年修订）</w:t>
      </w:r>
    </w:p>
    <w:p w14:paraId="1D4E83FE">
      <w:pPr>
        <w:adjustRightInd w:val="0"/>
        <w:snapToGrid w:val="0"/>
        <w:spacing w:line="580" w:lineRule="exact"/>
        <w:ind w:firstLine="640" w:firstLineChars="200"/>
        <w:rPr>
          <w:rFonts w:eastAsia="仿宋_GB2312"/>
          <w:sz w:val="32"/>
          <w:szCs w:val="32"/>
        </w:rPr>
      </w:pPr>
    </w:p>
    <w:p w14:paraId="4A197767">
      <w:pPr>
        <w:numPr>
          <w:ilvl w:val="0"/>
          <w:numId w:val="1"/>
        </w:numPr>
        <w:adjustRightInd w:val="0"/>
        <w:snapToGrid w:val="0"/>
        <w:spacing w:before="156" w:beforeLines="50" w:after="156" w:afterLines="50" w:line="580" w:lineRule="exact"/>
        <w:jc w:val="center"/>
        <w:rPr>
          <w:rFonts w:eastAsia="黑体"/>
          <w:sz w:val="32"/>
          <w:szCs w:val="32"/>
        </w:rPr>
      </w:pPr>
      <w:r>
        <w:rPr>
          <w:rFonts w:hint="eastAsia" w:eastAsia="黑体"/>
          <w:sz w:val="32"/>
          <w:szCs w:val="32"/>
        </w:rPr>
        <w:t xml:space="preserve"> 总则</w:t>
      </w:r>
    </w:p>
    <w:p w14:paraId="4E069617">
      <w:pPr>
        <w:numPr>
          <w:ilvl w:val="0"/>
          <w:numId w:val="2"/>
        </w:numPr>
        <w:adjustRightInd w:val="0"/>
        <w:snapToGrid w:val="0"/>
        <w:spacing w:line="58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为深入学习贯彻落实教育部“双千”计划，灵活契合产业快速发展对学科交叉复合人才的需求，充分发挥学校学科专业特色和办学优势，强化人才培养供给侧结构性改革，完善人才培养供需适配机制，持续深化产教融合协同育人，提升大学生职业胜任力和就业竞争力，结合学校个性化人才培养改革，进一步规范微专业建设与管理，特制定本办法。</w:t>
      </w:r>
    </w:p>
    <w:p w14:paraId="6DB8CADE">
      <w:pPr>
        <w:numPr>
          <w:ilvl w:val="0"/>
          <w:numId w:val="2"/>
        </w:numPr>
        <w:adjustRightInd w:val="0"/>
        <w:snapToGrid w:val="0"/>
        <w:spacing w:line="58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本办法所称“微专业”，是指以培养跨学科跨专业复合人才为目标，围绕急需紧缺的产业发展趋势和职业核心素养，通过重构知识结构整合优质资源而设置系统化、小而精的课程体系，并采取灵活、系统地培养方式，使学生具备相应的专业素养和综合能力，增强知识结构复合性和社会需求适应能力而在本科专业目录以外自主设置的专业。微专业以“小学分、高聚焦、精课程、跨学科、灵活性”为核心，分为急需紧缺型、应用技能型和交叉复合型三种类型。微专业属于非学历教育，不授予学位，通过上级部门审核批准可在中国高等教育学生信息网（学信网）备注信息。</w:t>
      </w:r>
    </w:p>
    <w:p w14:paraId="654B90AC">
      <w:pPr>
        <w:numPr>
          <w:ilvl w:val="0"/>
          <w:numId w:val="2"/>
        </w:numPr>
        <w:adjustRightInd w:val="0"/>
        <w:snapToGrid w:val="0"/>
        <w:spacing w:line="580" w:lineRule="exact"/>
        <w:ind w:left="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微专业建设的基本原则如下：</w:t>
      </w:r>
    </w:p>
    <w:p w14:paraId="1EF9F13A">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（一）需求导向。紧密对接国家战略、区域经济社会发展、新兴交叉学科或行业前沿需求，聚焦大学生职业发展能力培养，鼓励与相关企业合作共建。</w:t>
      </w:r>
    </w:p>
    <w:p w14:paraId="75A7F045">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（二）特色鲜明。聚焦优势学科领域或新兴方向，形成具有竞争力的特色课程体系，鼓励跨学科、跨学院资源整合，体现知识结构的融合与创新。</w:t>
      </w:r>
    </w:p>
    <w:p w14:paraId="46B97BBB">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（三）精简高效。课程设置精炼、核心突出，总学分适中，便于学生在主修专业学习之余修读。</w:t>
      </w:r>
    </w:p>
    <w:p w14:paraId="54CC87BA">
      <w:pPr>
        <w:numPr>
          <w:ilvl w:val="0"/>
          <w:numId w:val="1"/>
        </w:numPr>
        <w:adjustRightInd w:val="0"/>
        <w:snapToGrid w:val="0"/>
        <w:spacing w:before="156" w:beforeLines="50" w:after="156" w:afterLines="50" w:line="580" w:lineRule="exact"/>
        <w:jc w:val="center"/>
        <w:rPr>
          <w:rFonts w:eastAsia="黑体"/>
          <w:sz w:val="32"/>
          <w:szCs w:val="32"/>
        </w:rPr>
      </w:pPr>
      <w:r>
        <w:rPr>
          <w:rFonts w:hint="eastAsia" w:eastAsia="黑体"/>
          <w:sz w:val="32"/>
          <w:szCs w:val="32"/>
        </w:rPr>
        <w:t xml:space="preserve"> 微专业设置与申报</w:t>
      </w:r>
    </w:p>
    <w:p w14:paraId="457FDFC2">
      <w:pPr>
        <w:numPr>
          <w:ilvl w:val="0"/>
          <w:numId w:val="2"/>
        </w:numPr>
        <w:adjustRightInd w:val="0"/>
        <w:snapToGrid w:val="0"/>
        <w:spacing w:line="580"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微专业设置不局限于现有专业目录，但申报单位须符合以下条件：</w:t>
      </w:r>
    </w:p>
    <w:p w14:paraId="55B7F29D">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（一）明确的目标定位。需清晰界定微专业的培养目标、面向对象及预期能力产出。</w:t>
      </w:r>
    </w:p>
    <w:p w14:paraId="0CE34269">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（二）完整的实施方案。包括培养方案、招生计划、教学安排、管理模式、质量保障措施等。</w:t>
      </w:r>
    </w:p>
    <w:p w14:paraId="057773AA">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（三）科学的课程体系。构建结构合理、逻辑清晰、核心突出的课程模块，</w:t>
      </w:r>
      <w:r>
        <w:rPr>
          <w:rFonts w:hint="eastAsia" w:ascii="仿宋_GB2312" w:hAnsi="黑体" w:eastAsia="仿宋_GB2312"/>
          <w:sz w:val="32"/>
          <w:szCs w:val="32"/>
        </w:rPr>
        <w:t>2/3以上</w:t>
      </w:r>
      <w:r>
        <w:rPr>
          <w:rFonts w:hint="eastAsia" w:ascii="仿宋_GB2312" w:hAnsi="仿宋_GB2312" w:eastAsia="仿宋_GB2312" w:cs="仿宋_GB2312"/>
          <w:sz w:val="32"/>
          <w:szCs w:val="32"/>
        </w:rPr>
        <w:t>课程应主要为新开设或经改造优化的现有课程。教学周期一般为1-3个学期，建设</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门核心课程；每门课程1-2学分，实践教学学时占比不低于40%；总学分原则上控制在</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-12学分。</w:t>
      </w:r>
    </w:p>
    <w:p w14:paraId="529CF91A">
      <w:pPr>
        <w:widowControl/>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（四）必要的支撑条件。拥有能够承担微专业教学任务、具备较高学术水平或丰富行业实践经验的专兼职教师队伍，其中至少配备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名具有高级专业技术职务的负责人，企业兼职教师占比不低于</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%；具备保障微专业教学顺利开展所需的实验设备、图书资料、实践基地等条件。</w:t>
      </w:r>
    </w:p>
    <w:p w14:paraId="6B0D4B0F">
      <w:p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鼓励学院与校外</w:t>
      </w:r>
      <w:r>
        <w:rPr>
          <w:rFonts w:hint="eastAsia" w:ascii="仿宋_GB2312" w:hAnsi="仿宋_GB2312" w:eastAsia="仿宋_GB2312" w:cs="仿宋_GB2312"/>
          <w:sz w:val="32"/>
          <w:szCs w:val="32"/>
        </w:rPr>
        <w:t>企事业单位</w:t>
      </w:r>
      <w:r>
        <w:rPr>
          <w:rFonts w:ascii="仿宋_GB2312" w:hAnsi="仿宋_GB2312" w:eastAsia="仿宋_GB2312" w:cs="仿宋_GB2312"/>
          <w:sz w:val="32"/>
          <w:szCs w:val="32"/>
        </w:rPr>
        <w:t>合作申报微专业，共建教学团队和课程资源，</w:t>
      </w:r>
      <w:r>
        <w:rPr>
          <w:rFonts w:hint="eastAsia" w:ascii="仿宋_GB2312" w:hAnsi="仿宋_GB2312" w:eastAsia="仿宋_GB2312" w:cs="仿宋_GB2312"/>
          <w:sz w:val="32"/>
          <w:szCs w:val="32"/>
        </w:rPr>
        <w:t>推行项目式学习、案例教学、探究式学习等先进教学方法，</w:t>
      </w:r>
      <w:r>
        <w:rPr>
          <w:rFonts w:ascii="仿宋_GB2312" w:hAnsi="仿宋_GB2312" w:eastAsia="仿宋_GB2312" w:cs="仿宋_GB2312"/>
          <w:sz w:val="32"/>
          <w:szCs w:val="32"/>
        </w:rPr>
        <w:t>开发基于真实项目</w:t>
      </w:r>
      <w:r>
        <w:rPr>
          <w:rFonts w:hint="eastAsia" w:ascii="仿宋_GB2312" w:hAnsi="仿宋_GB2312" w:eastAsia="仿宋_GB2312" w:cs="仿宋_GB2312"/>
          <w:sz w:val="32"/>
          <w:szCs w:val="32"/>
        </w:rPr>
        <w:t>或案例</w:t>
      </w:r>
      <w:r>
        <w:rPr>
          <w:rFonts w:ascii="仿宋_GB2312" w:hAnsi="仿宋_GB2312" w:eastAsia="仿宋_GB2312" w:cs="仿宋_GB2312"/>
          <w:sz w:val="32"/>
          <w:szCs w:val="32"/>
        </w:rPr>
        <w:t>的</w:t>
      </w:r>
      <w:r>
        <w:rPr>
          <w:rFonts w:hint="eastAsia" w:ascii="仿宋_GB2312" w:hAnsi="仿宋_GB2312" w:eastAsia="仿宋_GB2312" w:cs="仿宋_GB2312"/>
          <w:sz w:val="32"/>
          <w:szCs w:val="32"/>
        </w:rPr>
        <w:t>校企合作共建</w:t>
      </w:r>
      <w:r>
        <w:rPr>
          <w:rFonts w:ascii="仿宋_GB2312" w:hAnsi="仿宋_GB2312" w:eastAsia="仿宋_GB2312" w:cs="仿宋_GB2312"/>
          <w:sz w:val="32"/>
          <w:szCs w:val="32"/>
        </w:rPr>
        <w:t>课程。</w:t>
      </w:r>
      <w:r>
        <w:rPr>
          <w:rFonts w:hint="eastAsia" w:ascii="仿宋_GB2312" w:hAnsi="仿宋_GB2312" w:eastAsia="仿宋_GB2312" w:cs="仿宋_GB2312"/>
          <w:sz w:val="32"/>
          <w:szCs w:val="32"/>
        </w:rPr>
        <w:t>重点支持开设面向职业能力发展的微课程，包括（1）基本素质提升类培训课程：帮助学生了解不同职业岗位的基本情况，增强对岗位的认识与认同；（2）专业技能训练类培训课程：帮助学生具备胜任岗位工作所必需的基本知识，掌握必备的技能；（3）人工智能应用类培训课程：帮助学生基于所学专业熟练掌握相关人工智能应用；（4）实习实践类培训课程：帮助学生体验岗位真实工作场景，提升岗位胜任力。</w:t>
      </w:r>
    </w:p>
    <w:p w14:paraId="78057EE0">
      <w:pPr>
        <w:numPr>
          <w:ilvl w:val="0"/>
          <w:numId w:val="2"/>
        </w:num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微专业申报与审批流程</w:t>
      </w:r>
    </w:p>
    <w:p w14:paraId="05E13E1B">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（一）学院联合相关院系或合作企业开展调研和论证，制定培养方案，填写《安徽工程大学微专业设置备案表》，报送教务处审核。</w:t>
      </w:r>
    </w:p>
    <w:p w14:paraId="2D18467C">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（二）教务处对学院提交的材料进行审核，同意后予以备案，学院组织招生。</w:t>
      </w:r>
    </w:p>
    <w:p w14:paraId="1754D120">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（三）学院进行微专业招生、学生授课和考核、成绩录入等教学管理，相关数字信息纳入学校教学管理信息系统。</w:t>
      </w:r>
    </w:p>
    <w:p w14:paraId="2BE77671">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（四）学院将通过考核予以结业学生名单报学校审核，学校审核通过后发文结业，并颁发结业证书。</w:t>
      </w:r>
    </w:p>
    <w:p w14:paraId="69B7A145">
      <w:pPr>
        <w:numPr>
          <w:ilvl w:val="0"/>
          <w:numId w:val="1"/>
        </w:numPr>
        <w:adjustRightInd w:val="0"/>
        <w:snapToGrid w:val="0"/>
        <w:spacing w:before="156" w:beforeLines="50" w:after="156" w:afterLines="50" w:line="580" w:lineRule="exact"/>
        <w:jc w:val="center"/>
        <w:rPr>
          <w:rFonts w:eastAsia="黑体"/>
          <w:sz w:val="32"/>
          <w:szCs w:val="32"/>
        </w:rPr>
      </w:pPr>
      <w:r>
        <w:rPr>
          <w:rFonts w:hint="eastAsia" w:eastAsia="黑体"/>
          <w:sz w:val="32"/>
          <w:szCs w:val="32"/>
        </w:rPr>
        <w:t xml:space="preserve"> 招生与教学运行管理</w:t>
      </w:r>
    </w:p>
    <w:p w14:paraId="44B2B433">
      <w:pPr>
        <w:numPr>
          <w:ilvl w:val="0"/>
          <w:numId w:val="2"/>
        </w:num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招生与学籍管理</w:t>
      </w:r>
    </w:p>
    <w:p w14:paraId="16B7E418">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（一）招生对象。面向学校全日制本科二年级及以上在籍学生，满足微专业先修要求。鼓励跨学科背景学生申报，条件成熟的微专业可按上级相关要求面向社会招生。</w:t>
      </w:r>
    </w:p>
    <w:p w14:paraId="27B61ED9">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（二）招生宣传。开设学院根据培养方案制定并发布招生简章，明确报名条件、选拔方式、招生名额等。</w:t>
      </w:r>
    </w:p>
    <w:p w14:paraId="3F2F06F5">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（三）收费标准。微专业学费按学分收取，</w:t>
      </w:r>
      <w:r>
        <w:rPr>
          <w:rFonts w:hint="eastAsia" w:ascii="仿宋_GB2312" w:hAnsi="仿宋_GB2312" w:eastAsia="仿宋_GB2312" w:cs="仿宋_GB2312"/>
          <w:sz w:val="32"/>
          <w:szCs w:val="32"/>
          <w:highlight w:val="none"/>
          <w:lang w:eastAsia="zh-CN"/>
        </w:rPr>
        <w:t>暂定</w:t>
      </w:r>
      <w:r>
        <w:rPr>
          <w:rFonts w:hint="eastAsia" w:ascii="仿宋_GB2312" w:hAnsi="仿宋_GB2312" w:eastAsia="仿宋_GB2312" w:cs="仿宋_GB2312"/>
          <w:sz w:val="32"/>
          <w:szCs w:val="32"/>
          <w:highlight w:val="none"/>
        </w:rPr>
        <w:t>标准为1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0元/学分。</w:t>
      </w:r>
      <w:r>
        <w:rPr>
          <w:rFonts w:hint="eastAsia" w:ascii="仿宋_GB2312" w:hAnsi="仿宋_GB2312" w:eastAsia="仿宋_GB2312" w:cs="仿宋_GB2312"/>
          <w:sz w:val="32"/>
          <w:szCs w:val="32"/>
        </w:rPr>
        <w:t>由开设学院结合实际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自主决定</w:t>
      </w:r>
      <w:r>
        <w:rPr>
          <w:rFonts w:hint="eastAsia" w:ascii="仿宋_GB2312" w:hAnsi="仿宋_GB2312" w:eastAsia="仿宋_GB2312" w:cs="仿宋_GB2312"/>
          <w:sz w:val="32"/>
          <w:szCs w:val="32"/>
          <w:lang w:eastAsia="zh-CN"/>
        </w:rPr>
        <w:t>是否收取</w:t>
      </w:r>
      <w:r>
        <w:rPr>
          <w:rFonts w:hint="eastAsia" w:ascii="仿宋_GB2312" w:hAnsi="仿宋_GB2312" w:eastAsia="仿宋_GB2312" w:cs="仿宋_GB2312"/>
          <w:sz w:val="32"/>
          <w:szCs w:val="32"/>
        </w:rPr>
        <w:t>学费，并在学院制定的实施细则或招生简章中明确收费标准。微专业学费由财务处负责收取，</w:t>
      </w:r>
      <w:r>
        <w:rPr>
          <w:rFonts w:hint="eastAsia" w:ascii="仿宋_GB2312" w:hAnsi="仿宋_GB2312" w:eastAsia="仿宋_GB2312" w:cs="仿宋_GB2312"/>
          <w:sz w:val="32"/>
          <w:szCs w:val="32"/>
          <w:lang w:eastAsia="zh-CN"/>
        </w:rPr>
        <w:t>按非税管理规定上缴财政</w:t>
      </w:r>
      <w:r>
        <w:rPr>
          <w:rFonts w:hint="eastAsia" w:ascii="仿宋_GB2312" w:hAnsi="仿宋_GB2312" w:eastAsia="仿宋_GB2312" w:cs="仿宋_GB2312"/>
          <w:sz w:val="32"/>
          <w:szCs w:val="32"/>
        </w:rPr>
        <w:t>，课酬</w:t>
      </w:r>
      <w:r>
        <w:rPr>
          <w:rFonts w:hint="eastAsia" w:ascii="仿宋_GB2312" w:hAnsi="仿宋_GB2312" w:eastAsia="仿宋_GB2312" w:cs="仿宋_GB2312"/>
          <w:sz w:val="32"/>
          <w:szCs w:val="32"/>
          <w:lang w:eastAsia="zh-CN"/>
        </w:rPr>
        <w:t>及微</w:t>
      </w:r>
      <w:r>
        <w:rPr>
          <w:rFonts w:hint="eastAsia" w:ascii="仿宋_GB2312" w:hAnsi="仿宋_GB2312" w:eastAsia="仿宋_GB2312" w:cs="仿宋_GB2312"/>
          <w:sz w:val="32"/>
          <w:szCs w:val="32"/>
        </w:rPr>
        <w:t>专业建设</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列支预算</w:t>
      </w:r>
      <w:r>
        <w:rPr>
          <w:rFonts w:hint="eastAsia" w:ascii="仿宋_GB2312" w:hAnsi="仿宋_GB2312" w:eastAsia="仿宋_GB2312" w:cs="仿宋_GB2312"/>
          <w:sz w:val="32"/>
          <w:szCs w:val="32"/>
        </w:rPr>
        <w:t>。</w:t>
      </w:r>
      <w:bookmarkStart w:id="1" w:name="_GoBack"/>
      <w:bookmarkEnd w:id="1"/>
    </w:p>
    <w:p w14:paraId="10CA322B">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（四）开班标准。微专业原则上满</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人方可开班，报名人数不足</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人的，由开设学院与教务处协商，可暂缓开班或调整培养计划。</w:t>
      </w:r>
    </w:p>
    <w:p w14:paraId="37F34C1A">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学籍管理</w:t>
      </w:r>
      <w:r>
        <w:rPr>
          <w:rFonts w:hint="eastAsia" w:ascii="仿宋_GB2312" w:hAnsi="仿宋_GB2312" w:eastAsia="仿宋_GB2312" w:cs="仿宋_GB2312"/>
          <w:sz w:val="32"/>
          <w:szCs w:val="32"/>
        </w:rPr>
        <w:t>。参加微专业学习的学生，不变更主修专业学籍，学生学籍和日常管理仍由主修专业所在学院负责。</w:t>
      </w:r>
    </w:p>
    <w:p w14:paraId="0BBB48EE">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学生若有特殊原因不能坚持微专业学习的，须提出书面申请，经学生所在学院、微专业开设学院审核同意后，办理终止修读手续，并报教务处备案。</w:t>
      </w:r>
    </w:p>
    <w:p w14:paraId="2AE990E1">
      <w:pPr>
        <w:numPr>
          <w:ilvl w:val="0"/>
          <w:numId w:val="2"/>
        </w:num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教学组织</w:t>
      </w:r>
    </w:p>
    <w:p w14:paraId="5D67C6FA">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（一）开设学院是微专业教学运行与管理的责任主体，负责课程安排、教师配备、教学实施、成绩管理、学业指导等。</w:t>
      </w:r>
    </w:p>
    <w:p w14:paraId="71494A58">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（二）微专业课程原则上安排在晚上、周末进行，避免与主修专业课程冲突；课程考核严格按教学大纲执行，确保考核公平公正。</w:t>
      </w:r>
    </w:p>
    <w:p w14:paraId="23B616E5">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微专业课程若与主修专业相关课程（包括通识选修课程、交叉平台课程、实践实训课程等）内容高度一致且要求相当，或通过国家高等教育智慧教育平台资源，学生获得平台认证证书的，可申请替代微专业课程。经学生申请、开设学院及主修学院审核同意，按学校相关规定进行课程及相应学分替代。</w:t>
      </w:r>
    </w:p>
    <w:p w14:paraId="1B990BA9">
      <w:pPr>
        <w:numPr>
          <w:ilvl w:val="0"/>
          <w:numId w:val="2"/>
        </w:num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考核管理</w:t>
      </w:r>
    </w:p>
    <w:p w14:paraId="59611C46">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（一）微专业课程考核实行过程性评价与终结性评价相结合，成绩实行单列管理，形成独立成绩单归入学生学业档案，不纳入主修专业平均学分绩点计算。</w:t>
      </w:r>
    </w:p>
    <w:p w14:paraId="2CF67946">
      <w:pPr>
        <w:tabs>
          <w:tab w:val="left" w:pos="0"/>
        </w:tabs>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未完成微专业修读计划的学生，其已修读合格的课程可记录成绩及学分（可提供合格课程成绩单），但不发放微专业结业证书。微专业课程考核不合格的，不计入主修专业不及格课程门数，不影响评先评优和毕业资格。</w:t>
      </w:r>
    </w:p>
    <w:p w14:paraId="06973D96">
      <w:pPr>
        <w:numPr>
          <w:ilvl w:val="0"/>
          <w:numId w:val="2"/>
        </w:numPr>
        <w:adjustRightInd w:val="0"/>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学校开展微专业教学质量评估和微专业学生就业跟踪，定期开展微专业综合评估，根据评估结果确定是否继续开设。</w:t>
      </w:r>
    </w:p>
    <w:p w14:paraId="73225E15">
      <w:pPr>
        <w:numPr>
          <w:ilvl w:val="0"/>
          <w:numId w:val="2"/>
        </w:numPr>
        <w:adjustRightInd w:val="0"/>
        <w:snapToGrid w:val="0"/>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予以结业的学生发放学校统一制作的微专业证书。</w:t>
      </w:r>
    </w:p>
    <w:p w14:paraId="3D293948">
      <w:pPr>
        <w:numPr>
          <w:ilvl w:val="0"/>
          <w:numId w:val="1"/>
        </w:numPr>
        <w:adjustRightInd w:val="0"/>
        <w:snapToGrid w:val="0"/>
        <w:spacing w:before="156" w:beforeLines="50" w:after="156" w:afterLines="50" w:line="580" w:lineRule="exact"/>
        <w:jc w:val="center"/>
        <w:rPr>
          <w:rFonts w:eastAsia="黑体"/>
          <w:sz w:val="32"/>
          <w:szCs w:val="32"/>
        </w:rPr>
      </w:pPr>
      <w:r>
        <w:rPr>
          <w:rFonts w:hint="eastAsia" w:eastAsia="黑体"/>
          <w:sz w:val="32"/>
          <w:szCs w:val="32"/>
        </w:rPr>
        <w:t xml:space="preserve"> 建设、管理与质量保障</w:t>
      </w:r>
    </w:p>
    <w:p w14:paraId="71875193">
      <w:pPr>
        <w:numPr>
          <w:ilvl w:val="0"/>
          <w:numId w:val="2"/>
        </w:numPr>
        <w:adjustRightInd w:val="0"/>
        <w:snapToGrid w:val="0"/>
        <w:spacing w:line="580" w:lineRule="exact"/>
        <w:ind w:left="-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学校对每个实际开设的微专业每年给予配套经费支持。微专业所在学院需设置微专业建设专项经费用于微专业建设，确保微专业建设工作高效开展。</w:t>
      </w:r>
    </w:p>
    <w:p w14:paraId="6F516D1C">
      <w:pPr>
        <w:numPr>
          <w:ilvl w:val="0"/>
          <w:numId w:val="2"/>
        </w:numPr>
        <w:adjustRightInd w:val="0"/>
        <w:snapToGrid w:val="0"/>
        <w:spacing w:line="580" w:lineRule="exact"/>
        <w:ind w:left="-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在校级本科教学质量提升计划中，学校单独设置微专业与职业发展微课程专项，并予以相关经费支持，鼓励微专业和微课程建设。</w:t>
      </w:r>
    </w:p>
    <w:p w14:paraId="21D3BCFD">
      <w:pPr>
        <w:numPr>
          <w:ilvl w:val="0"/>
          <w:numId w:val="2"/>
        </w:numPr>
        <w:adjustRightInd w:val="0"/>
        <w:snapToGrid w:val="0"/>
        <w:spacing w:line="580" w:lineRule="exact"/>
        <w:ind w:left="-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在职称评审和教师教学质量考核、年终考核时，微专业教学工作量视同为正常课程教学工作量，标准班人数按</w:t>
      </w:r>
      <w:r>
        <w:rPr>
          <w:rFonts w:ascii="仿宋_GB2312" w:hAnsi="仿宋_GB2312" w:eastAsia="仿宋_GB2312" w:cs="仿宋_GB2312"/>
          <w:sz w:val="32"/>
          <w:szCs w:val="32"/>
        </w:rPr>
        <w:t>20人/标准班</w:t>
      </w:r>
      <w:r>
        <w:rPr>
          <w:rFonts w:hint="eastAsia" w:ascii="仿宋_GB2312" w:hAnsi="仿宋_GB2312" w:eastAsia="仿宋_GB2312" w:cs="仿宋_GB2312"/>
          <w:sz w:val="32"/>
          <w:szCs w:val="32"/>
        </w:rPr>
        <w:t>，具体按照学校相关文件规定执行。</w:t>
      </w:r>
    </w:p>
    <w:p w14:paraId="53060C74">
      <w:pPr>
        <w:numPr>
          <w:ilvl w:val="0"/>
          <w:numId w:val="2"/>
        </w:numPr>
        <w:adjustRightInd w:val="0"/>
        <w:snapToGrid w:val="0"/>
        <w:spacing w:line="580" w:lineRule="exact"/>
        <w:ind w:left="-11" w:firstLine="640" w:firstLineChars="200"/>
        <w:rPr>
          <w:sz w:val="32"/>
          <w:szCs w:val="32"/>
        </w:rPr>
      </w:pPr>
      <w:r>
        <w:rPr>
          <w:rFonts w:hint="eastAsia" w:ascii="仿宋_GB2312" w:hAnsi="仿宋_GB2312" w:eastAsia="仿宋_GB2312" w:cs="仿宋_GB2312"/>
          <w:sz w:val="32"/>
          <w:szCs w:val="32"/>
        </w:rPr>
        <w:t>各学院可根据本办法，结合实际制定具体实施细则形成制度文件，规范过程管理，提升建设成效。</w:t>
      </w:r>
    </w:p>
    <w:p w14:paraId="11BCE723">
      <w:pPr>
        <w:numPr>
          <w:ilvl w:val="0"/>
          <w:numId w:val="2"/>
        </w:numPr>
        <w:adjustRightInd w:val="0"/>
        <w:snapToGrid w:val="0"/>
        <w:spacing w:line="580" w:lineRule="exact"/>
        <w:ind w:left="-11"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微专业课程教学纳入学校教学质量保障体系，发展规划与质量评估处、教务处、学生处等职能部门不定期组织开展微专业教学质量监督检查工作。</w:t>
      </w:r>
    </w:p>
    <w:p w14:paraId="2A18901D">
      <w:pPr>
        <w:numPr>
          <w:ilvl w:val="0"/>
          <w:numId w:val="1"/>
        </w:numPr>
        <w:adjustRightInd w:val="0"/>
        <w:snapToGrid w:val="0"/>
        <w:spacing w:before="156" w:beforeLines="50" w:after="156" w:afterLines="50" w:line="580" w:lineRule="exact"/>
        <w:jc w:val="center"/>
        <w:rPr>
          <w:rFonts w:eastAsia="黑体"/>
          <w:sz w:val="32"/>
          <w:szCs w:val="32"/>
        </w:rPr>
      </w:pPr>
      <w:r>
        <w:rPr>
          <w:rFonts w:hint="eastAsia" w:eastAsia="黑体"/>
          <w:sz w:val="32"/>
          <w:szCs w:val="32"/>
        </w:rPr>
        <w:t xml:space="preserve"> 附则</w:t>
      </w:r>
    </w:p>
    <w:p w14:paraId="581C891E">
      <w:pPr>
        <w:numPr>
          <w:ilvl w:val="0"/>
          <w:numId w:val="2"/>
        </w:numPr>
        <w:adjustRightInd w:val="0"/>
        <w:snapToGrid w:val="0"/>
        <w:spacing w:line="560" w:lineRule="exact"/>
        <w:ind w:firstLine="640" w:firstLineChars="200"/>
        <w:rPr>
          <w:rFonts w:ascii="宋体" w:hAnsi="宋体" w:cs="宋体"/>
          <w:spacing w:val="-2"/>
          <w:kern w:val="0"/>
          <w:sz w:val="24"/>
        </w:rPr>
      </w:pPr>
      <w:r>
        <w:rPr>
          <w:rFonts w:hint="eastAsia" w:ascii="仿宋_GB2312" w:hAnsi="仿宋_GB2312" w:eastAsia="仿宋_GB2312" w:cs="仿宋_GB2312"/>
          <w:sz w:val="32"/>
          <w:szCs w:val="32"/>
        </w:rPr>
        <w:t>本办法未尽事宜，参照学校教学管理相关规定执行。</w:t>
      </w:r>
    </w:p>
    <w:p w14:paraId="0CF86637">
      <w:pPr>
        <w:numPr>
          <w:ilvl w:val="0"/>
          <w:numId w:val="2"/>
        </w:numPr>
        <w:adjustRightInd w:val="0"/>
        <w:snapToGrid w:val="0"/>
        <w:spacing w:line="560" w:lineRule="exact"/>
        <w:ind w:firstLine="640" w:firstLineChars="200"/>
        <w:rPr>
          <w:rFonts w:ascii="宋体" w:hAnsi="宋体" w:cs="宋体"/>
          <w:spacing w:val="-2"/>
          <w:kern w:val="0"/>
          <w:sz w:val="24"/>
        </w:rPr>
      </w:pPr>
      <w:r>
        <w:rPr>
          <w:rFonts w:hint="eastAsia" w:ascii="仿宋_GB2312" w:hAnsi="仿宋_GB2312" w:eastAsia="仿宋_GB2312" w:cs="仿宋_GB2312"/>
          <w:sz w:val="32"/>
          <w:szCs w:val="32"/>
        </w:rPr>
        <w:t>本办法自发布之日起执行，由教务处负责解释。原《安徽工程大学微专业管理暂行办法》（</w:t>
      </w:r>
      <w:bookmarkStart w:id="0" w:name="%E6%96%87%E5%8F%B7"/>
      <w:r>
        <w:rPr>
          <w:rFonts w:hint="eastAsia" w:ascii="仿宋_GB2312" w:hAnsi="仿宋_GB2312" w:eastAsia="仿宋_GB2312" w:cs="仿宋_GB2312"/>
          <w:sz w:val="32"/>
          <w:szCs w:val="32"/>
        </w:rPr>
        <w:t>校教字〔2022〕38号</w:t>
      </w:r>
      <w:bookmarkEnd w:id="0"/>
      <w:r>
        <w:rPr>
          <w:rFonts w:hint="eastAsia" w:ascii="仿宋_GB2312" w:hAnsi="仿宋_GB2312" w:eastAsia="仿宋_GB2312" w:cs="仿宋_GB2312"/>
          <w:sz w:val="32"/>
          <w:szCs w:val="32"/>
        </w:rPr>
        <w:t>）同时废止。</w:t>
      </w:r>
    </w:p>
    <w:sectPr>
      <w:headerReference r:id="rId4" w:type="first"/>
      <w:footerReference r:id="rId7" w:type="first"/>
      <w:headerReference r:id="rId3" w:type="default"/>
      <w:footerReference r:id="rId5" w:type="default"/>
      <w:footerReference r:id="rId6" w:type="even"/>
      <w:pgSz w:w="11906" w:h="16838"/>
      <w:pgMar w:top="2608" w:right="1474" w:bottom="1985"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3D74FD-6957-4EA9-BDC2-559FADBB091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B1676E78-518B-4E6F-AC8F-6D2239B2E3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012B6">
    <w:pPr>
      <w:pStyle w:val="4"/>
      <w:ind w:right="720" w:firstLine="13720" w:firstLineChars="490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D531">
    <w:pPr>
      <w:pStyle w:val="4"/>
      <w:ind w:right="720"/>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6106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88F08">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7DE5">
    <w:pPr>
      <w:pStyle w:val="5"/>
    </w:pPr>
    <w:r>
      <w:pict>
        <v:shape id="PowerPlusWaterMarkObject389161578" o:spid="_x0000_s4097" o:spt="136" type="#_x0000_t136" style="position:absolute;left:0pt;height:156.85pt;width:470.6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审议稿"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CFD7F"/>
    <w:multiLevelType w:val="singleLevel"/>
    <w:tmpl w:val="BA9CFD7F"/>
    <w:lvl w:ilvl="0" w:tentative="0">
      <w:start w:val="1"/>
      <w:numFmt w:val="chineseCounting"/>
      <w:suff w:val="space"/>
      <w:lvlText w:val="第%1章"/>
      <w:lvlJc w:val="left"/>
      <w:rPr>
        <w:rFonts w:hint="eastAsia" w:ascii="黑体" w:hAnsi="黑体" w:eastAsia="黑体" w:cs="黑体"/>
      </w:rPr>
    </w:lvl>
  </w:abstractNum>
  <w:abstractNum w:abstractNumId="1">
    <w:nsid w:val="FA5DB209"/>
    <w:multiLevelType w:val="singleLevel"/>
    <w:tmpl w:val="FA5DB209"/>
    <w:lvl w:ilvl="0" w:tentative="0">
      <w:start w:val="1"/>
      <w:numFmt w:val="chineseCounting"/>
      <w:suff w:val="space"/>
      <w:lvlText w:val="第%1条"/>
      <w:lvlJc w:val="left"/>
      <w:pPr>
        <w:tabs>
          <w:tab w:val="left" w:pos="0"/>
        </w:tabs>
        <w:ind w:left="-10"/>
      </w:pPr>
      <w:rPr>
        <w:rFonts w:hint="eastAsia" w:ascii="黑体" w:hAnsi="黑体" w:eastAsia="黑体" w:cs="黑体"/>
        <w:b w:val="0"/>
        <w:bCs w:val="0"/>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BE5"/>
    <w:rsid w:val="00050801"/>
    <w:rsid w:val="000540A0"/>
    <w:rsid w:val="00062921"/>
    <w:rsid w:val="000658AE"/>
    <w:rsid w:val="000658F1"/>
    <w:rsid w:val="000A7897"/>
    <w:rsid w:val="000B4819"/>
    <w:rsid w:val="000C6A2B"/>
    <w:rsid w:val="000F0871"/>
    <w:rsid w:val="000F564A"/>
    <w:rsid w:val="00107EB0"/>
    <w:rsid w:val="001243E7"/>
    <w:rsid w:val="00147E62"/>
    <w:rsid w:val="0015157E"/>
    <w:rsid w:val="001700CF"/>
    <w:rsid w:val="00183794"/>
    <w:rsid w:val="001B6BAB"/>
    <w:rsid w:val="001C6BF4"/>
    <w:rsid w:val="001D2262"/>
    <w:rsid w:val="001F0C64"/>
    <w:rsid w:val="002166E8"/>
    <w:rsid w:val="00243BE5"/>
    <w:rsid w:val="002572F4"/>
    <w:rsid w:val="00280F40"/>
    <w:rsid w:val="00294952"/>
    <w:rsid w:val="00297E2D"/>
    <w:rsid w:val="002A23D0"/>
    <w:rsid w:val="002A258A"/>
    <w:rsid w:val="002B4118"/>
    <w:rsid w:val="002C271C"/>
    <w:rsid w:val="002C3F4E"/>
    <w:rsid w:val="002D2FBA"/>
    <w:rsid w:val="002D65B2"/>
    <w:rsid w:val="002E519B"/>
    <w:rsid w:val="002F00FE"/>
    <w:rsid w:val="002F0DC1"/>
    <w:rsid w:val="0031047A"/>
    <w:rsid w:val="003150DB"/>
    <w:rsid w:val="003315D3"/>
    <w:rsid w:val="003328B3"/>
    <w:rsid w:val="00356BB1"/>
    <w:rsid w:val="00367D22"/>
    <w:rsid w:val="00371DA6"/>
    <w:rsid w:val="00376181"/>
    <w:rsid w:val="00381714"/>
    <w:rsid w:val="00392279"/>
    <w:rsid w:val="003A25BD"/>
    <w:rsid w:val="003A7CCA"/>
    <w:rsid w:val="003C0E23"/>
    <w:rsid w:val="003F3769"/>
    <w:rsid w:val="00402CEB"/>
    <w:rsid w:val="00405199"/>
    <w:rsid w:val="00421D5B"/>
    <w:rsid w:val="004231CC"/>
    <w:rsid w:val="004238D6"/>
    <w:rsid w:val="004378E7"/>
    <w:rsid w:val="004645D4"/>
    <w:rsid w:val="0048223D"/>
    <w:rsid w:val="004A45E6"/>
    <w:rsid w:val="00500231"/>
    <w:rsid w:val="00501C8D"/>
    <w:rsid w:val="005025A9"/>
    <w:rsid w:val="0050502A"/>
    <w:rsid w:val="005363E0"/>
    <w:rsid w:val="0054784A"/>
    <w:rsid w:val="005664CA"/>
    <w:rsid w:val="00570B5C"/>
    <w:rsid w:val="00593D1E"/>
    <w:rsid w:val="005A43A0"/>
    <w:rsid w:val="005B6C86"/>
    <w:rsid w:val="005D01BF"/>
    <w:rsid w:val="00605C4E"/>
    <w:rsid w:val="0060612C"/>
    <w:rsid w:val="006219D6"/>
    <w:rsid w:val="0063466D"/>
    <w:rsid w:val="00650BA4"/>
    <w:rsid w:val="00667857"/>
    <w:rsid w:val="00675593"/>
    <w:rsid w:val="00677450"/>
    <w:rsid w:val="00684B36"/>
    <w:rsid w:val="00686755"/>
    <w:rsid w:val="006A38A0"/>
    <w:rsid w:val="006F73E2"/>
    <w:rsid w:val="0070762F"/>
    <w:rsid w:val="007167F5"/>
    <w:rsid w:val="00717284"/>
    <w:rsid w:val="00727E8D"/>
    <w:rsid w:val="00761C96"/>
    <w:rsid w:val="00773767"/>
    <w:rsid w:val="007740BC"/>
    <w:rsid w:val="00776D42"/>
    <w:rsid w:val="007A7DC8"/>
    <w:rsid w:val="007B5859"/>
    <w:rsid w:val="007C0321"/>
    <w:rsid w:val="007D7714"/>
    <w:rsid w:val="007E1E66"/>
    <w:rsid w:val="007E29AD"/>
    <w:rsid w:val="008277F2"/>
    <w:rsid w:val="0084789B"/>
    <w:rsid w:val="008630B3"/>
    <w:rsid w:val="00875C8D"/>
    <w:rsid w:val="00876AAB"/>
    <w:rsid w:val="00881A02"/>
    <w:rsid w:val="00887822"/>
    <w:rsid w:val="00892EA8"/>
    <w:rsid w:val="008B54BF"/>
    <w:rsid w:val="008C4F8C"/>
    <w:rsid w:val="008C6409"/>
    <w:rsid w:val="008C75EF"/>
    <w:rsid w:val="008F520D"/>
    <w:rsid w:val="00903798"/>
    <w:rsid w:val="009156AB"/>
    <w:rsid w:val="00915D36"/>
    <w:rsid w:val="00935AAF"/>
    <w:rsid w:val="00940F2E"/>
    <w:rsid w:val="00951E13"/>
    <w:rsid w:val="0096029E"/>
    <w:rsid w:val="0097110F"/>
    <w:rsid w:val="0097274D"/>
    <w:rsid w:val="00985571"/>
    <w:rsid w:val="009B63CD"/>
    <w:rsid w:val="009C2FFC"/>
    <w:rsid w:val="009E7844"/>
    <w:rsid w:val="00A13388"/>
    <w:rsid w:val="00A13855"/>
    <w:rsid w:val="00A14C53"/>
    <w:rsid w:val="00A2393F"/>
    <w:rsid w:val="00A25AC0"/>
    <w:rsid w:val="00A26DE4"/>
    <w:rsid w:val="00A45F93"/>
    <w:rsid w:val="00A65E0E"/>
    <w:rsid w:val="00A949B6"/>
    <w:rsid w:val="00AB2266"/>
    <w:rsid w:val="00AC3122"/>
    <w:rsid w:val="00AC31A0"/>
    <w:rsid w:val="00AC71FF"/>
    <w:rsid w:val="00AD68EC"/>
    <w:rsid w:val="00B00307"/>
    <w:rsid w:val="00B02DFF"/>
    <w:rsid w:val="00B068F3"/>
    <w:rsid w:val="00B51276"/>
    <w:rsid w:val="00B55971"/>
    <w:rsid w:val="00B55C23"/>
    <w:rsid w:val="00B71C97"/>
    <w:rsid w:val="00BA4031"/>
    <w:rsid w:val="00BC0DDE"/>
    <w:rsid w:val="00BD1455"/>
    <w:rsid w:val="00BF4EA5"/>
    <w:rsid w:val="00BF6A20"/>
    <w:rsid w:val="00C0135B"/>
    <w:rsid w:val="00C035B7"/>
    <w:rsid w:val="00C53DD8"/>
    <w:rsid w:val="00C6130C"/>
    <w:rsid w:val="00C629BE"/>
    <w:rsid w:val="00C7160B"/>
    <w:rsid w:val="00C74080"/>
    <w:rsid w:val="00C808A8"/>
    <w:rsid w:val="00C909A9"/>
    <w:rsid w:val="00C9384E"/>
    <w:rsid w:val="00CC337B"/>
    <w:rsid w:val="00CC43EE"/>
    <w:rsid w:val="00CD7838"/>
    <w:rsid w:val="00CE4206"/>
    <w:rsid w:val="00CE62D0"/>
    <w:rsid w:val="00CF4150"/>
    <w:rsid w:val="00D00170"/>
    <w:rsid w:val="00D15963"/>
    <w:rsid w:val="00D464DF"/>
    <w:rsid w:val="00D547A2"/>
    <w:rsid w:val="00D54EB8"/>
    <w:rsid w:val="00D56BD9"/>
    <w:rsid w:val="00D92C48"/>
    <w:rsid w:val="00DB2F32"/>
    <w:rsid w:val="00DB7811"/>
    <w:rsid w:val="00DD3A0A"/>
    <w:rsid w:val="00DE25E5"/>
    <w:rsid w:val="00DE6AA9"/>
    <w:rsid w:val="00DF2C6D"/>
    <w:rsid w:val="00E0191E"/>
    <w:rsid w:val="00E15DD4"/>
    <w:rsid w:val="00E25A6B"/>
    <w:rsid w:val="00E31F97"/>
    <w:rsid w:val="00E372B0"/>
    <w:rsid w:val="00E4054A"/>
    <w:rsid w:val="00E449F7"/>
    <w:rsid w:val="00E549E5"/>
    <w:rsid w:val="00E7662F"/>
    <w:rsid w:val="00E96A11"/>
    <w:rsid w:val="00EC1FF1"/>
    <w:rsid w:val="00EC38D7"/>
    <w:rsid w:val="00EC5AC7"/>
    <w:rsid w:val="00EE18D1"/>
    <w:rsid w:val="00EE7FD7"/>
    <w:rsid w:val="00EF69AF"/>
    <w:rsid w:val="00F41650"/>
    <w:rsid w:val="00F72E16"/>
    <w:rsid w:val="00F847EB"/>
    <w:rsid w:val="00F95D98"/>
    <w:rsid w:val="00FA5B4D"/>
    <w:rsid w:val="00FB7F1B"/>
    <w:rsid w:val="00FC4FC3"/>
    <w:rsid w:val="00FE01E4"/>
    <w:rsid w:val="00FE2778"/>
    <w:rsid w:val="00FF7002"/>
    <w:rsid w:val="00FF769D"/>
    <w:rsid w:val="04D059AE"/>
    <w:rsid w:val="056619DB"/>
    <w:rsid w:val="09C13E54"/>
    <w:rsid w:val="0A26037D"/>
    <w:rsid w:val="0B386962"/>
    <w:rsid w:val="0BB74698"/>
    <w:rsid w:val="0E1328C4"/>
    <w:rsid w:val="0F125BDF"/>
    <w:rsid w:val="0F845808"/>
    <w:rsid w:val="0FB10C06"/>
    <w:rsid w:val="144A1308"/>
    <w:rsid w:val="153A6A04"/>
    <w:rsid w:val="16913E2B"/>
    <w:rsid w:val="1A276F17"/>
    <w:rsid w:val="1AF566DB"/>
    <w:rsid w:val="1B7846AC"/>
    <w:rsid w:val="1D8E601D"/>
    <w:rsid w:val="1DEE127A"/>
    <w:rsid w:val="1E535520"/>
    <w:rsid w:val="1F5A7F19"/>
    <w:rsid w:val="219C6A3D"/>
    <w:rsid w:val="27F4323D"/>
    <w:rsid w:val="28FF7BAB"/>
    <w:rsid w:val="2A4D10C0"/>
    <w:rsid w:val="31A04CA0"/>
    <w:rsid w:val="335A5F0B"/>
    <w:rsid w:val="34BF0E0C"/>
    <w:rsid w:val="3507517A"/>
    <w:rsid w:val="358D6439"/>
    <w:rsid w:val="36767721"/>
    <w:rsid w:val="385A46BC"/>
    <w:rsid w:val="39EE1B7F"/>
    <w:rsid w:val="3A9A5D97"/>
    <w:rsid w:val="3B5E5347"/>
    <w:rsid w:val="3EF43DA9"/>
    <w:rsid w:val="41AE1D07"/>
    <w:rsid w:val="43751492"/>
    <w:rsid w:val="43951256"/>
    <w:rsid w:val="45B46E25"/>
    <w:rsid w:val="467001B9"/>
    <w:rsid w:val="47022DDB"/>
    <w:rsid w:val="48B6759F"/>
    <w:rsid w:val="4C220485"/>
    <w:rsid w:val="4E577EB0"/>
    <w:rsid w:val="4FBD1F95"/>
    <w:rsid w:val="4FE92D8A"/>
    <w:rsid w:val="50B3293F"/>
    <w:rsid w:val="519009F6"/>
    <w:rsid w:val="51912D15"/>
    <w:rsid w:val="51D44F7E"/>
    <w:rsid w:val="5527011A"/>
    <w:rsid w:val="56CB143B"/>
    <w:rsid w:val="60FE5830"/>
    <w:rsid w:val="63285699"/>
    <w:rsid w:val="66585382"/>
    <w:rsid w:val="67F21BCA"/>
    <w:rsid w:val="68490F69"/>
    <w:rsid w:val="6A90057A"/>
    <w:rsid w:val="6D3234D1"/>
    <w:rsid w:val="6ED317D6"/>
    <w:rsid w:val="6F9B7433"/>
    <w:rsid w:val="73820F69"/>
    <w:rsid w:val="74DA0758"/>
    <w:rsid w:val="75D71E90"/>
    <w:rsid w:val="760B69CF"/>
    <w:rsid w:val="762A53DF"/>
    <w:rsid w:val="76E527AD"/>
    <w:rsid w:val="77A40516"/>
    <w:rsid w:val="7A5061E2"/>
    <w:rsid w:val="7B220AB9"/>
    <w:rsid w:val="7C811E59"/>
    <w:rsid w:val="7E590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semiHidden/>
    <w:qFormat/>
    <w:uiPriority w:val="0"/>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脚 字符"/>
    <w:link w:val="4"/>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38A66-46E5-4A62-9559-50A95009BA33}">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2749</Words>
  <Characters>2776</Characters>
  <Lines>104</Lines>
  <Paragraphs>90</Paragraphs>
  <TotalTime>7</TotalTime>
  <ScaleCrop>false</ScaleCrop>
  <LinksUpToDate>false</LinksUpToDate>
  <CharactersWithSpaces>2784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2025-10-22T08:02:00Z</dcterms:created>
  <dc:creator>雨林木风</dc:creator>
  <cp:lastModifiedBy>尐の潴猪</cp:lastModifiedBy>
  <cp:lastPrinted>2026-02-26T11:56:00Z</cp:lastPrinted>
  <dcterms:modified xsi:type="dcterms:W3CDTF">2026-02-28T07:41:19Z</dcterms:modified>
  <dc:title> </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eyJoZGlkIjoiMDBmOTA3ZWI3YmRhYjMxNGIzMjNjZjg3M2I2NTFmMDMiLCJ1c2VySWQiOiI5MDE5OTIxNjgifQ==</vt:lpwstr>
  </property>
  <property fmtid="{D5CDD505-2E9C-101B-9397-08002B2CF9AE}" pid="4" name="ICV">
    <vt:lpwstr>3D074C6307C54152AF036BB2AC9768D6_13</vt:lpwstr>
  </property>
</Properties>
</file>